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BD" w:rsidRPr="004537BD" w:rsidRDefault="004537BD" w:rsidP="004537BD">
      <w:pPr>
        <w:shd w:val="clear" w:color="auto" w:fill="FFFFFF"/>
        <w:jc w:val="center"/>
        <w:rPr>
          <w:rFonts w:ascii="Palatino Linotype" w:hAnsi="Palatino Linotype" w:cs="Arial"/>
          <w:sz w:val="22"/>
          <w:szCs w:val="22"/>
        </w:rPr>
      </w:pPr>
      <w:r w:rsidRPr="004537BD">
        <w:rPr>
          <w:rFonts w:ascii="Palatino Linotype" w:hAnsi="Palatino Linotype" w:cs="Arial"/>
          <w:bCs/>
          <w:spacing w:val="9"/>
          <w:sz w:val="22"/>
          <w:szCs w:val="22"/>
        </w:rPr>
        <w:t>ΕΘΝΙΚΟ ΚΑΙ ΚΑΠΟΔΙΣΤΡΙΑΚΟ ΠΑΝΕΠΙΣΤΗΜΙΟ ΑΘΗΝΩΝ</w:t>
      </w:r>
    </w:p>
    <w:p w:rsidR="004537BD" w:rsidRPr="004537BD" w:rsidRDefault="004537BD" w:rsidP="004537BD">
      <w:pPr>
        <w:shd w:val="clear" w:color="auto" w:fill="FFFFFF"/>
        <w:jc w:val="center"/>
        <w:rPr>
          <w:rFonts w:ascii="Palatino Linotype" w:hAnsi="Palatino Linotype" w:cs="Arial"/>
          <w:sz w:val="22"/>
          <w:szCs w:val="22"/>
        </w:rPr>
      </w:pPr>
      <w:r w:rsidRPr="004537BD">
        <w:rPr>
          <w:rFonts w:ascii="Palatino Linotype" w:hAnsi="Palatino Linotype" w:cs="Arial"/>
          <w:bCs/>
          <w:spacing w:val="-4"/>
          <w:sz w:val="22"/>
          <w:szCs w:val="22"/>
        </w:rPr>
        <w:t>ΙΑΤΡΙΚΗ ΣΧΟΛΗ</w:t>
      </w:r>
    </w:p>
    <w:p w:rsidR="004537BD" w:rsidRPr="004537BD" w:rsidRDefault="004537BD" w:rsidP="004537BD">
      <w:pPr>
        <w:shd w:val="clear" w:color="auto" w:fill="FFFFFF"/>
        <w:rPr>
          <w:rFonts w:ascii="Palatino Linotype" w:hAnsi="Palatino Linotype" w:cs="Arial"/>
          <w:sz w:val="22"/>
          <w:szCs w:val="22"/>
        </w:rPr>
      </w:pPr>
      <w:r>
        <w:rPr>
          <w:rFonts w:ascii="Palatino Linotype" w:hAnsi="Palatino Linotype" w:cs="Arial"/>
          <w:noProof/>
          <w:sz w:val="22"/>
          <w:szCs w:val="22"/>
          <w:lang w:val="en-US"/>
        </w:rPr>
        <w:drawing>
          <wp:anchor distT="0" distB="0" distL="114300" distR="114300" simplePos="0" relativeHeight="251659264" behindDoc="0" locked="0" layoutInCell="1" allowOverlap="1">
            <wp:simplePos x="0" y="0"/>
            <wp:positionH relativeFrom="margin">
              <wp:posOffset>2540000</wp:posOffset>
            </wp:positionH>
            <wp:positionV relativeFrom="margin">
              <wp:posOffset>450215</wp:posOffset>
            </wp:positionV>
            <wp:extent cx="540385" cy="716280"/>
            <wp:effectExtent l="19050" t="0" r="0" b="0"/>
            <wp:wrapSquare wrapText="bothSides"/>
            <wp:docPr id="1" name="Εικόνα 2" descr="LOGO_UOA C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OA COL2"/>
                    <pic:cNvPicPr>
                      <a:picLocks noChangeAspect="1" noChangeArrowheads="1"/>
                    </pic:cNvPicPr>
                  </pic:nvPicPr>
                  <pic:blipFill>
                    <a:blip r:embed="rId6" cstate="print"/>
                    <a:srcRect l="7843" t="7602" r="13725" b="12164"/>
                    <a:stretch>
                      <a:fillRect/>
                    </a:stretch>
                  </pic:blipFill>
                  <pic:spPr bwMode="auto">
                    <a:xfrm>
                      <a:off x="0" y="0"/>
                      <a:ext cx="540385" cy="716280"/>
                    </a:xfrm>
                    <a:prstGeom prst="rect">
                      <a:avLst/>
                    </a:prstGeom>
                    <a:noFill/>
                    <a:ln w="9525">
                      <a:noFill/>
                      <a:miter lim="800000"/>
                      <a:headEnd/>
                      <a:tailEnd/>
                    </a:ln>
                  </pic:spPr>
                </pic:pic>
              </a:graphicData>
            </a:graphic>
          </wp:anchor>
        </w:drawing>
      </w:r>
    </w:p>
    <w:p w:rsidR="004537BD" w:rsidRDefault="004537BD" w:rsidP="004537BD">
      <w:pPr>
        <w:pStyle w:val="Header"/>
        <w:spacing w:line="240" w:lineRule="auto"/>
        <w:jc w:val="center"/>
        <w:rPr>
          <w:rFonts w:ascii="Palatino Linotype" w:hAnsi="Palatino Linotype"/>
          <w:b/>
          <w:sz w:val="26"/>
          <w:szCs w:val="26"/>
        </w:rPr>
      </w:pPr>
    </w:p>
    <w:p w:rsidR="004537BD" w:rsidRPr="004537BD" w:rsidRDefault="004537BD" w:rsidP="004537BD">
      <w:pPr>
        <w:pStyle w:val="Header"/>
        <w:spacing w:line="240" w:lineRule="auto"/>
        <w:jc w:val="center"/>
        <w:rPr>
          <w:rFonts w:asciiTheme="minorHAnsi" w:hAnsiTheme="minorHAnsi"/>
          <w:b/>
          <w:sz w:val="20"/>
          <w:szCs w:val="20"/>
        </w:rPr>
      </w:pPr>
    </w:p>
    <w:p w:rsidR="004537BD" w:rsidRPr="002B4791" w:rsidRDefault="004537BD" w:rsidP="004537BD">
      <w:pPr>
        <w:pStyle w:val="Header"/>
        <w:spacing w:line="240" w:lineRule="auto"/>
        <w:jc w:val="center"/>
        <w:rPr>
          <w:rFonts w:asciiTheme="minorHAnsi" w:hAnsiTheme="minorHAnsi"/>
          <w:b/>
          <w:sz w:val="20"/>
          <w:szCs w:val="20"/>
        </w:rPr>
      </w:pPr>
    </w:p>
    <w:p w:rsidR="004537BD" w:rsidRPr="002B4791" w:rsidRDefault="004537BD" w:rsidP="004537BD">
      <w:pPr>
        <w:pStyle w:val="Header"/>
        <w:spacing w:line="240" w:lineRule="auto"/>
        <w:jc w:val="center"/>
        <w:rPr>
          <w:rFonts w:asciiTheme="minorHAnsi" w:hAnsiTheme="minorHAnsi"/>
          <w:b/>
          <w:sz w:val="20"/>
          <w:szCs w:val="20"/>
        </w:rPr>
      </w:pPr>
    </w:p>
    <w:p w:rsidR="004537BD" w:rsidRPr="004537BD" w:rsidRDefault="004537BD" w:rsidP="004537BD">
      <w:pPr>
        <w:pStyle w:val="Header"/>
        <w:spacing w:line="240" w:lineRule="auto"/>
        <w:jc w:val="center"/>
        <w:rPr>
          <w:rFonts w:asciiTheme="minorHAnsi" w:hAnsiTheme="minorHAnsi"/>
          <w:sz w:val="20"/>
          <w:szCs w:val="20"/>
        </w:rPr>
      </w:pPr>
    </w:p>
    <w:p w:rsidR="004537BD" w:rsidRPr="004537BD" w:rsidRDefault="004537BD" w:rsidP="004537BD">
      <w:pPr>
        <w:pStyle w:val="Header"/>
        <w:spacing w:line="240" w:lineRule="auto"/>
        <w:jc w:val="center"/>
        <w:rPr>
          <w:rFonts w:asciiTheme="minorHAnsi" w:hAnsiTheme="minorHAnsi"/>
          <w:sz w:val="20"/>
          <w:szCs w:val="20"/>
        </w:rPr>
      </w:pPr>
      <w:r w:rsidRPr="004537BD">
        <w:rPr>
          <w:rFonts w:asciiTheme="minorHAnsi" w:hAnsiTheme="minorHAnsi"/>
          <w:sz w:val="20"/>
          <w:szCs w:val="20"/>
        </w:rPr>
        <w:t xml:space="preserve">ΠΡΟΓΡΑΜΜΑ ΜΕΤΑΠΤΥΧΙΑΚΩΝ ΣΠΟΥΔΩΝ </w:t>
      </w:r>
    </w:p>
    <w:p w:rsidR="004537BD" w:rsidRPr="004537BD" w:rsidRDefault="004537BD" w:rsidP="004537BD">
      <w:pPr>
        <w:pStyle w:val="Header"/>
        <w:spacing w:line="240" w:lineRule="auto"/>
        <w:jc w:val="center"/>
        <w:rPr>
          <w:rFonts w:asciiTheme="minorHAnsi" w:hAnsiTheme="minorHAnsi"/>
          <w:b/>
          <w:i/>
          <w:sz w:val="20"/>
          <w:szCs w:val="20"/>
        </w:rPr>
      </w:pPr>
      <w:r w:rsidRPr="004537BD">
        <w:rPr>
          <w:rFonts w:asciiTheme="minorHAnsi" w:hAnsiTheme="minorHAnsi"/>
          <w:b/>
          <w:sz w:val="20"/>
          <w:szCs w:val="20"/>
        </w:rPr>
        <w:t xml:space="preserve"> </w:t>
      </w:r>
      <w:r w:rsidRPr="004537BD">
        <w:rPr>
          <w:rFonts w:asciiTheme="minorHAnsi" w:hAnsiTheme="minorHAnsi"/>
          <w:b/>
          <w:i/>
          <w:sz w:val="20"/>
          <w:szCs w:val="20"/>
        </w:rPr>
        <w:t>«ΣΧΕΔΙΑΣΜΟ ΚΑΙ ΔΙΟΙΚΗΣΗ ΥΠΗΡΕΣΙΩΝ ΥΓΕΙΑΣ»</w:t>
      </w:r>
    </w:p>
    <w:p w:rsidR="004537BD" w:rsidRPr="004537BD" w:rsidRDefault="004537BD" w:rsidP="004537BD">
      <w:pPr>
        <w:pStyle w:val="Header"/>
        <w:spacing w:line="240" w:lineRule="auto"/>
        <w:jc w:val="center"/>
        <w:rPr>
          <w:rFonts w:ascii="Palatino Linotype" w:hAnsi="Palatino Linotype"/>
          <w:sz w:val="28"/>
          <w:szCs w:val="28"/>
        </w:rPr>
      </w:pPr>
      <w:r w:rsidRPr="004537BD">
        <w:rPr>
          <w:rFonts w:asciiTheme="minorHAnsi" w:hAnsiTheme="minorHAnsi"/>
          <w:sz w:val="20"/>
          <w:szCs w:val="20"/>
        </w:rPr>
        <w:t>ΤΗΣ ΙΑΤΡΙΚΗΣ ΣΧΟΛΗΣ ΤΟΥ ΕΚΠΑ</w:t>
      </w:r>
    </w:p>
    <w:p w:rsidR="004537BD" w:rsidRPr="002B4791" w:rsidRDefault="004537BD" w:rsidP="004537BD">
      <w:pPr>
        <w:tabs>
          <w:tab w:val="left" w:pos="2868"/>
        </w:tabs>
        <w:rPr>
          <w:rFonts w:ascii="Palatino Linotype" w:hAnsi="Palatino Linotype"/>
          <w:b/>
          <w:sz w:val="52"/>
          <w:szCs w:val="52"/>
        </w:rPr>
      </w:pPr>
    </w:p>
    <w:p w:rsidR="004537BD" w:rsidRPr="006A53BC" w:rsidRDefault="004537BD" w:rsidP="004537BD">
      <w:pPr>
        <w:pStyle w:val="Heading2"/>
        <w:spacing w:before="0" w:after="120"/>
        <w:rPr>
          <w:rFonts w:asciiTheme="minorHAnsi" w:hAnsiTheme="minorHAnsi"/>
          <w:sz w:val="22"/>
          <w:szCs w:val="22"/>
        </w:rPr>
      </w:pPr>
      <w:r w:rsidRPr="006A53BC">
        <w:rPr>
          <w:rFonts w:asciiTheme="minorHAnsi" w:hAnsiTheme="minorHAnsi"/>
          <w:sz w:val="22"/>
          <w:szCs w:val="22"/>
        </w:rPr>
        <w:t>Συνοπτική Περιγραφή του Προγράμματος</w:t>
      </w:r>
    </w:p>
    <w:p w:rsidR="006A53BC" w:rsidRDefault="006A53BC" w:rsidP="004537BD">
      <w:pPr>
        <w:spacing w:after="120"/>
        <w:jc w:val="both"/>
        <w:rPr>
          <w:rFonts w:asciiTheme="minorHAnsi" w:hAnsiTheme="minorHAnsi"/>
          <w:sz w:val="22"/>
          <w:szCs w:val="22"/>
        </w:rPr>
      </w:pPr>
      <w:r>
        <w:rPr>
          <w:rFonts w:asciiTheme="minorHAnsi" w:hAnsiTheme="minorHAnsi"/>
          <w:sz w:val="22"/>
          <w:szCs w:val="22"/>
          <w:lang w:val="en-US"/>
        </w:rPr>
        <w:t>T</w:t>
      </w:r>
      <w:r>
        <w:rPr>
          <w:rFonts w:asciiTheme="minorHAnsi" w:hAnsiTheme="minorHAnsi"/>
          <w:sz w:val="22"/>
          <w:szCs w:val="22"/>
        </w:rPr>
        <w:t>ο Πρόγραμμα</w:t>
      </w:r>
      <w:r w:rsidR="004537BD" w:rsidRPr="002B4791">
        <w:rPr>
          <w:rFonts w:asciiTheme="minorHAnsi" w:hAnsiTheme="minorHAnsi"/>
          <w:sz w:val="22"/>
          <w:szCs w:val="22"/>
        </w:rPr>
        <w:t xml:space="preserve"> Μεταπτυχιακών Σπουδών με τίτλο «Σχεδιασμός και Διοίκηση Υπηρεσιών Υγείας» </w:t>
      </w:r>
      <w:r>
        <w:rPr>
          <w:rFonts w:asciiTheme="minorHAnsi" w:hAnsiTheme="minorHAnsi"/>
          <w:sz w:val="22"/>
          <w:szCs w:val="22"/>
        </w:rPr>
        <w:t xml:space="preserve">ξεκίνησε να λειτουργεί </w:t>
      </w:r>
      <w:r w:rsidR="004537BD" w:rsidRPr="002B4791">
        <w:rPr>
          <w:rFonts w:asciiTheme="minorHAnsi" w:hAnsiTheme="minorHAnsi"/>
          <w:sz w:val="22"/>
          <w:szCs w:val="22"/>
        </w:rPr>
        <w:t>από το ακαδημαϊκό έτος 2016-2017 σύμφωνα με τις διατάξεις του ν.3685/08</w:t>
      </w:r>
      <w:proofErr w:type="gramStart"/>
      <w:r w:rsidR="004537BD" w:rsidRPr="002B4791">
        <w:rPr>
          <w:rFonts w:asciiTheme="minorHAnsi" w:hAnsiTheme="minorHAnsi"/>
          <w:sz w:val="22"/>
          <w:szCs w:val="22"/>
        </w:rPr>
        <w:t>  (</w:t>
      </w:r>
      <w:proofErr w:type="gramEnd"/>
      <w:r w:rsidR="004537BD" w:rsidRPr="002B4791">
        <w:rPr>
          <w:rFonts w:asciiTheme="minorHAnsi" w:hAnsiTheme="minorHAnsi"/>
          <w:sz w:val="22"/>
          <w:szCs w:val="22"/>
        </w:rPr>
        <w:t>ΦΕK 148 Α').</w:t>
      </w:r>
      <w:r>
        <w:rPr>
          <w:rFonts w:asciiTheme="minorHAnsi" w:hAnsiTheme="minorHAnsi"/>
          <w:sz w:val="22"/>
          <w:szCs w:val="22"/>
        </w:rPr>
        <w:t xml:space="preserve"> Είναι ένα καινούργιο μεταπτυχιακό πρόγραμμα στο χώρο των υπηρεσιών υγείας. </w:t>
      </w:r>
      <w:r w:rsidR="004537BD" w:rsidRPr="002B4791">
        <w:rPr>
          <w:rFonts w:asciiTheme="minorHAnsi" w:hAnsiTheme="minorHAnsi"/>
          <w:sz w:val="22"/>
          <w:szCs w:val="22"/>
        </w:rPr>
        <w:t>Τη διοικητική και γραμματειακή υποστήριξη του προγράμματος αναλαμβάνει η Ιατρική Σχολή του ΕΚΠΑ.</w:t>
      </w:r>
    </w:p>
    <w:p w:rsidR="004537BD" w:rsidRPr="002B4791" w:rsidRDefault="006A53BC" w:rsidP="004537BD">
      <w:pPr>
        <w:spacing w:after="120"/>
        <w:jc w:val="both"/>
        <w:rPr>
          <w:rFonts w:asciiTheme="minorHAnsi" w:hAnsiTheme="minorHAnsi"/>
          <w:sz w:val="22"/>
          <w:szCs w:val="22"/>
        </w:rPr>
      </w:pPr>
      <w:r w:rsidRPr="006A53BC">
        <w:rPr>
          <w:rFonts w:asciiTheme="minorHAnsi" w:hAnsiTheme="minorHAnsi"/>
          <w:b/>
          <w:sz w:val="22"/>
          <w:szCs w:val="22"/>
        </w:rPr>
        <w:t xml:space="preserve">Το </w:t>
      </w:r>
      <w:r w:rsidR="004537BD" w:rsidRPr="006A53BC">
        <w:rPr>
          <w:rFonts w:asciiTheme="minorHAnsi" w:hAnsiTheme="minorHAnsi"/>
          <w:b/>
          <w:sz w:val="22"/>
          <w:szCs w:val="22"/>
        </w:rPr>
        <w:t>Αντικείμενο</w:t>
      </w:r>
      <w:r w:rsidR="004537BD" w:rsidRPr="002B4791">
        <w:rPr>
          <w:rFonts w:asciiTheme="minorHAnsi" w:hAnsiTheme="minorHAnsi"/>
          <w:sz w:val="22"/>
          <w:szCs w:val="22"/>
        </w:rPr>
        <w:t xml:space="preserve"> του Προγράμματος Μεταπτυχιακών σπουδών (Π.Μ.Σ.) «Σχεδιασμός και Διοίκηση Υπηρεσιών Υγείας» είναι η παροχή εξειδικευμένης εκπαίδευσης και η προαγωγή της γνώσης και της έρευνας σε πτυχιούχους Ιατρικής, αλλά και άλλων επιστημόνων υγείας και διοίκησης-οικονομίας, με συναφείς προς το πρόγραμμα γνώσεις, οι οποίοι ενδιαφέρονται να εμβαθύνουν στο γνωστικό αντικείμενο του Σχεδιασμού και Διοίκησης Υπηρεσιών Υγείας.</w:t>
      </w:r>
    </w:p>
    <w:p w:rsidR="00B600C4" w:rsidRPr="00B600C4" w:rsidRDefault="004537BD" w:rsidP="004537BD">
      <w:pPr>
        <w:spacing w:after="120"/>
        <w:jc w:val="both"/>
        <w:rPr>
          <w:rFonts w:asciiTheme="minorHAnsi" w:hAnsiTheme="minorHAnsi"/>
          <w:sz w:val="22"/>
          <w:szCs w:val="22"/>
        </w:rPr>
      </w:pPr>
      <w:r w:rsidRPr="006A53BC">
        <w:rPr>
          <w:rFonts w:asciiTheme="minorHAnsi" w:hAnsiTheme="minorHAnsi"/>
          <w:b/>
          <w:sz w:val="22"/>
          <w:szCs w:val="22"/>
        </w:rPr>
        <w:t xml:space="preserve">Σκοπός </w:t>
      </w:r>
      <w:r w:rsidRPr="002B4791">
        <w:rPr>
          <w:rFonts w:asciiTheme="minorHAnsi" w:hAnsiTheme="minorHAnsi"/>
          <w:sz w:val="22"/>
          <w:szCs w:val="22"/>
        </w:rPr>
        <w:t xml:space="preserve">του ΠΜΣ «Σχεδιασμός και Διοίκηση Υπηρεσιών Υγείας» είναι να καταρτίσει στελέχη ικανά να αναλάβουν θέσεις διοίκησης στις μονάδες υγείας του δημόσιου και ιδιωτικού τομέα και να αποτελέσει πυρήνα για την περαιτέρω ανάπτυξη του συγκεκριμένου γνωστικού πεδίου, συμβάλλοντας στη μεταφορά και ανάπτυξη της θεωρητικής τεχνογνωσίας αλλά και της πρακτικής εμπειρίας. </w:t>
      </w:r>
      <w:r w:rsidR="00B600C4" w:rsidRPr="00B600C4">
        <w:rPr>
          <w:rFonts w:asciiTheme="minorHAnsi" w:hAnsiTheme="minorHAnsi" w:cs="Tahoma"/>
          <w:color w:val="444444"/>
          <w:sz w:val="22"/>
          <w:szCs w:val="22"/>
          <w:shd w:val="clear" w:color="auto" w:fill="FFFFFF"/>
        </w:rPr>
        <w:t>Το Πρόγραμμα έχει σκοπό την εξειδίκευση και προετοιμασία της επόμενης γενιάς των ανώτερων στελεχών τόσο στο δημόσιο όσο και στον ιδιωτικό τομέα Υγείας για μια εποικοδομητική σταδιοδρομ</w:t>
      </w:r>
      <w:r w:rsidR="00B600C4">
        <w:rPr>
          <w:rFonts w:asciiTheme="minorHAnsi" w:hAnsiTheme="minorHAnsi" w:cs="Tahoma"/>
          <w:color w:val="444444"/>
          <w:sz w:val="22"/>
          <w:szCs w:val="22"/>
          <w:shd w:val="clear" w:color="auto" w:fill="FFFFFF"/>
        </w:rPr>
        <w:t>ία.</w:t>
      </w:r>
      <w:r w:rsidR="00B600C4">
        <w:rPr>
          <w:rFonts w:asciiTheme="minorHAnsi" w:hAnsiTheme="minorHAnsi"/>
          <w:sz w:val="22"/>
          <w:szCs w:val="22"/>
        </w:rPr>
        <w:t xml:space="preserve"> </w:t>
      </w:r>
      <w:r w:rsidR="00B600C4" w:rsidRPr="00B600C4">
        <w:rPr>
          <w:rFonts w:asciiTheme="minorHAnsi" w:hAnsiTheme="minorHAnsi"/>
          <w:color w:val="333333"/>
          <w:sz w:val="22"/>
          <w:szCs w:val="22"/>
        </w:rPr>
        <w:t>Παράλληλα, επιδιώκει τη διεπιστημονική προσέγγιση του αντικειμένου, αφού ενσωματώνει, επιπλέον, τα γνωστικά αντικείμενα της δημόσιας υγείας, της επιδημιολογίας και των επιστημών της συμπεριφοράς, στο χώρο της υγείας.</w:t>
      </w:r>
    </w:p>
    <w:p w:rsidR="004537BD" w:rsidRPr="002B4791" w:rsidRDefault="004537BD" w:rsidP="004537BD">
      <w:pPr>
        <w:spacing w:after="120"/>
        <w:rPr>
          <w:rFonts w:asciiTheme="minorHAnsi" w:hAnsiTheme="minorHAnsi"/>
          <w:sz w:val="22"/>
          <w:szCs w:val="22"/>
        </w:rPr>
      </w:pPr>
      <w:r w:rsidRPr="00E77CF4">
        <w:rPr>
          <w:rFonts w:asciiTheme="minorHAnsi" w:hAnsiTheme="minorHAnsi"/>
          <w:b/>
          <w:sz w:val="22"/>
          <w:szCs w:val="22"/>
        </w:rPr>
        <w:t>Οι απόφοιτοι του Π.Μ.Σ.</w:t>
      </w:r>
      <w:r w:rsidRPr="002B4791">
        <w:rPr>
          <w:rFonts w:asciiTheme="minorHAnsi" w:hAnsiTheme="minorHAnsi"/>
          <w:sz w:val="22"/>
          <w:szCs w:val="22"/>
        </w:rPr>
        <w:t xml:space="preserve"> θα μπορούν:</w:t>
      </w:r>
      <w:r w:rsidR="006A53BC">
        <w:rPr>
          <w:rFonts w:asciiTheme="minorHAnsi" w:hAnsiTheme="minorHAnsi"/>
          <w:sz w:val="22"/>
          <w:szCs w:val="22"/>
        </w:rPr>
        <w:t xml:space="preserve"> </w:t>
      </w:r>
      <w:r w:rsidRPr="002B4791">
        <w:rPr>
          <w:rFonts w:asciiTheme="minorHAnsi" w:hAnsiTheme="minorHAnsi" w:cs="MgHelveticaUCPol"/>
          <w:sz w:val="22"/>
          <w:szCs w:val="22"/>
        </w:rPr>
        <w:t>Να αναλάβουν με επιτυχία θέσεις στον τομέα της διοίκησης στις διάφορες μονάδες υγείας (ιδιωτικός και δημόσιος τομέας)  και να ανταπεξέλθουν στα σχετικά καθήκοντα, υποχρεώσεις και ανάγκες που απαιτεί το συγκεκριμένο πεδίο.</w:t>
      </w:r>
    </w:p>
    <w:p w:rsidR="004537BD" w:rsidRPr="006A53BC" w:rsidRDefault="004537BD" w:rsidP="006A53BC">
      <w:pPr>
        <w:spacing w:after="120"/>
        <w:jc w:val="both"/>
        <w:rPr>
          <w:rFonts w:asciiTheme="minorHAnsi" w:hAnsiTheme="minorHAnsi"/>
          <w:sz w:val="22"/>
          <w:szCs w:val="22"/>
        </w:rPr>
      </w:pPr>
      <w:r w:rsidRPr="002B4791">
        <w:rPr>
          <w:rFonts w:asciiTheme="minorHAnsi" w:hAnsiTheme="minorHAnsi"/>
          <w:sz w:val="22"/>
          <w:szCs w:val="22"/>
        </w:rPr>
        <w:t>Το Π.Μ.Σ. οδηγεί στην απόκτηση Μεταπτυχιακού Διπλώματος Ειδίκευσης (</w:t>
      </w:r>
      <w:proofErr w:type="spellStart"/>
      <w:r w:rsidRPr="002B4791">
        <w:rPr>
          <w:rFonts w:asciiTheme="minorHAnsi" w:hAnsiTheme="minorHAnsi"/>
          <w:sz w:val="22"/>
          <w:szCs w:val="22"/>
        </w:rPr>
        <w:t>ΜΔΕ</w:t>
      </w:r>
      <w:proofErr w:type="spellEnd"/>
      <w:r w:rsidRPr="002B4791">
        <w:rPr>
          <w:rFonts w:asciiTheme="minorHAnsi" w:hAnsiTheme="minorHAnsi"/>
          <w:sz w:val="22"/>
          <w:szCs w:val="22"/>
        </w:rPr>
        <w:t>) στον «Σχεδιασμό και Διοίκηση Υπηρεσιών Υγείας» (</w:t>
      </w:r>
      <w:r w:rsidRPr="002B4791">
        <w:rPr>
          <w:rFonts w:asciiTheme="minorHAnsi" w:hAnsiTheme="minorHAnsi"/>
          <w:sz w:val="22"/>
          <w:szCs w:val="22"/>
          <w:lang w:val="en-US"/>
        </w:rPr>
        <w:t>MSc</w:t>
      </w:r>
      <w:r w:rsidRPr="002B4791">
        <w:rPr>
          <w:rFonts w:asciiTheme="minorHAnsi" w:hAnsiTheme="minorHAnsi"/>
          <w:sz w:val="22"/>
          <w:szCs w:val="22"/>
        </w:rPr>
        <w:t xml:space="preserve"> </w:t>
      </w:r>
      <w:r w:rsidRPr="002B4791">
        <w:rPr>
          <w:rFonts w:asciiTheme="minorHAnsi" w:hAnsiTheme="minorHAnsi"/>
          <w:sz w:val="22"/>
          <w:szCs w:val="22"/>
          <w:lang w:val="en-US"/>
        </w:rPr>
        <w:t>in</w:t>
      </w:r>
      <w:r w:rsidRPr="002B4791">
        <w:rPr>
          <w:rFonts w:asciiTheme="minorHAnsi" w:hAnsiTheme="minorHAnsi"/>
          <w:sz w:val="22"/>
          <w:szCs w:val="22"/>
        </w:rPr>
        <w:t xml:space="preserve"> </w:t>
      </w:r>
      <w:r w:rsidRPr="002B4791">
        <w:rPr>
          <w:rFonts w:asciiTheme="minorHAnsi" w:hAnsiTheme="minorHAnsi"/>
          <w:sz w:val="22"/>
          <w:szCs w:val="22"/>
          <w:lang w:val="en-US"/>
        </w:rPr>
        <w:t>Planning</w:t>
      </w:r>
      <w:r w:rsidRPr="002B4791">
        <w:rPr>
          <w:rFonts w:asciiTheme="minorHAnsi" w:hAnsiTheme="minorHAnsi"/>
          <w:sz w:val="22"/>
          <w:szCs w:val="22"/>
        </w:rPr>
        <w:t xml:space="preserve"> </w:t>
      </w:r>
      <w:r w:rsidRPr="002B4791">
        <w:rPr>
          <w:rFonts w:asciiTheme="minorHAnsi" w:hAnsiTheme="minorHAnsi"/>
          <w:sz w:val="22"/>
          <w:szCs w:val="22"/>
          <w:lang w:val="en-US"/>
        </w:rPr>
        <w:t>and</w:t>
      </w:r>
      <w:r w:rsidRPr="002B4791">
        <w:rPr>
          <w:rFonts w:asciiTheme="minorHAnsi" w:hAnsiTheme="minorHAnsi"/>
          <w:sz w:val="22"/>
          <w:szCs w:val="22"/>
        </w:rPr>
        <w:t xml:space="preserve"> </w:t>
      </w:r>
      <w:r w:rsidRPr="002B4791">
        <w:rPr>
          <w:rFonts w:asciiTheme="minorHAnsi" w:hAnsiTheme="minorHAnsi"/>
          <w:sz w:val="22"/>
          <w:szCs w:val="22"/>
          <w:lang w:val="en-US"/>
        </w:rPr>
        <w:t>Management</w:t>
      </w:r>
      <w:r w:rsidRPr="002B4791">
        <w:rPr>
          <w:rFonts w:asciiTheme="minorHAnsi" w:hAnsiTheme="minorHAnsi"/>
          <w:sz w:val="22"/>
          <w:szCs w:val="22"/>
        </w:rPr>
        <w:t xml:space="preserve"> </w:t>
      </w:r>
      <w:r w:rsidRPr="002B4791">
        <w:rPr>
          <w:rFonts w:asciiTheme="minorHAnsi" w:hAnsiTheme="minorHAnsi"/>
          <w:sz w:val="22"/>
          <w:szCs w:val="22"/>
          <w:lang w:val="en-US"/>
        </w:rPr>
        <w:t>of</w:t>
      </w:r>
      <w:r w:rsidRPr="002B4791">
        <w:rPr>
          <w:rFonts w:asciiTheme="minorHAnsi" w:hAnsiTheme="minorHAnsi"/>
          <w:sz w:val="22"/>
          <w:szCs w:val="22"/>
        </w:rPr>
        <w:t xml:space="preserve"> </w:t>
      </w:r>
      <w:r w:rsidRPr="002B4791">
        <w:rPr>
          <w:rFonts w:asciiTheme="minorHAnsi" w:hAnsiTheme="minorHAnsi"/>
          <w:sz w:val="22"/>
          <w:szCs w:val="22"/>
          <w:lang w:val="en-US"/>
        </w:rPr>
        <w:t>Health</w:t>
      </w:r>
      <w:r w:rsidRPr="002B4791">
        <w:rPr>
          <w:rFonts w:asciiTheme="minorHAnsi" w:hAnsiTheme="minorHAnsi"/>
          <w:sz w:val="22"/>
          <w:szCs w:val="22"/>
        </w:rPr>
        <w:t xml:space="preserve"> </w:t>
      </w:r>
      <w:r w:rsidRPr="002B4791">
        <w:rPr>
          <w:rFonts w:asciiTheme="minorHAnsi" w:hAnsiTheme="minorHAnsi"/>
          <w:sz w:val="22"/>
          <w:szCs w:val="22"/>
          <w:lang w:val="en-US"/>
        </w:rPr>
        <w:t>Services</w:t>
      </w:r>
      <w:r w:rsidRPr="002B4791">
        <w:rPr>
          <w:rFonts w:asciiTheme="minorHAnsi" w:hAnsiTheme="minorHAnsi"/>
          <w:sz w:val="22"/>
          <w:szCs w:val="22"/>
        </w:rPr>
        <w:t xml:space="preserve">). </w:t>
      </w:r>
      <w:r w:rsidRPr="002B4791">
        <w:rPr>
          <w:rFonts w:asciiTheme="minorHAnsi" w:hAnsiTheme="minorHAnsi"/>
          <w:color w:val="000000"/>
          <w:sz w:val="22"/>
          <w:szCs w:val="22"/>
        </w:rPr>
        <w:t xml:space="preserve">Ο τίτλος απονέμεται </w:t>
      </w:r>
      <w:r w:rsidRPr="002B4791">
        <w:rPr>
          <w:rFonts w:asciiTheme="minorHAnsi" w:hAnsiTheme="minorHAnsi"/>
          <w:sz w:val="22"/>
          <w:szCs w:val="22"/>
        </w:rPr>
        <w:t>από την Ιατρική Σχολή.</w:t>
      </w:r>
      <w:r w:rsidRPr="002B4791">
        <w:rPr>
          <w:rFonts w:asciiTheme="minorHAnsi" w:hAnsiTheme="minorHAnsi"/>
          <w:color w:val="FF0000"/>
          <w:sz w:val="22"/>
          <w:szCs w:val="22"/>
        </w:rPr>
        <w:t xml:space="preserve"> </w:t>
      </w:r>
      <w:r w:rsidRPr="002B4791">
        <w:rPr>
          <w:rFonts w:asciiTheme="minorHAnsi" w:hAnsiTheme="minorHAnsi"/>
          <w:color w:val="000000"/>
          <w:sz w:val="22"/>
          <w:szCs w:val="22"/>
        </w:rPr>
        <w:t xml:space="preserve"> </w:t>
      </w:r>
    </w:p>
    <w:p w:rsidR="004537BD" w:rsidRPr="002B4791" w:rsidRDefault="004537BD" w:rsidP="004537BD">
      <w:pPr>
        <w:spacing w:after="120"/>
        <w:jc w:val="both"/>
        <w:rPr>
          <w:rFonts w:asciiTheme="minorHAnsi" w:hAnsiTheme="minorHAnsi" w:cs="Arial"/>
          <w:sz w:val="22"/>
          <w:szCs w:val="22"/>
          <w:lang w:eastAsia="el-GR"/>
        </w:rPr>
      </w:pPr>
      <w:r w:rsidRPr="002B4791">
        <w:rPr>
          <w:rFonts w:asciiTheme="minorHAnsi" w:hAnsiTheme="minorHAnsi"/>
          <w:sz w:val="22"/>
          <w:szCs w:val="22"/>
        </w:rPr>
        <w:t xml:space="preserve">Στο Π.Μ.Σ. γίνονται δεκτοί, εφόσον πληρούν τις απαραίτητες προϋποθέσεις για την επιτυχή παρακολούθηση των μαθημάτων, </w:t>
      </w:r>
      <w:r w:rsidRPr="002B4791">
        <w:rPr>
          <w:rFonts w:asciiTheme="minorHAnsi" w:hAnsiTheme="minorHAnsi" w:cs="Arial"/>
          <w:sz w:val="22"/>
          <w:szCs w:val="22"/>
          <w:lang w:eastAsia="el-GR"/>
        </w:rPr>
        <w:t xml:space="preserve">Πτυχιούχοι Τμημάτων Πανεπιστημίων και ΤΕΙ της ημεδαπής και Πτυχιούχοι  αναγνωρισμένων ομοταγών ιδρυμάτων της αλλοδαπής, (σύμφωνα με την παρ. 1 άρθρο 4 του ν. 3685/08) τμημάτων των επιστημών υγείας και επιστημών διοίκησης και οικονομίας. Πιο συγκεκριμένα, γίνονται δεκτοί, μετά από επιλογή, πτυχιούχοι Τμημάτων Ιατρικής, Οδοντιατρικής, Φαρμακευτικής, Νοσηλευτικής και άλλων </w:t>
      </w:r>
      <w:r w:rsidRPr="002B4791">
        <w:rPr>
          <w:rFonts w:asciiTheme="minorHAnsi" w:hAnsiTheme="minorHAnsi" w:cs="Arial"/>
          <w:sz w:val="22"/>
          <w:szCs w:val="22"/>
          <w:lang w:eastAsia="el-GR"/>
        </w:rPr>
        <w:lastRenderedPageBreak/>
        <w:t xml:space="preserve">επιστημών υγείας, καθώς και πτυχιούχοι Τμημάτων Διοικητικών, Οικονομικών και Κοινωνικών Επιστημών και επιστημών με συναφή αντικείμενα. Επιπλέον, γίνονται δεκτοί και πτυχιούχοι ΤΕΙ συναφών αντικειμένων. </w:t>
      </w:r>
    </w:p>
    <w:p w:rsidR="004537BD" w:rsidRDefault="004537BD" w:rsidP="004537BD">
      <w:pPr>
        <w:spacing w:after="120"/>
        <w:jc w:val="both"/>
        <w:rPr>
          <w:rFonts w:asciiTheme="minorHAnsi" w:hAnsiTheme="minorHAnsi"/>
          <w:sz w:val="22"/>
          <w:szCs w:val="22"/>
        </w:rPr>
      </w:pPr>
      <w:r w:rsidRPr="002B4791">
        <w:rPr>
          <w:rFonts w:asciiTheme="minorHAnsi" w:hAnsiTheme="minorHAnsi"/>
          <w:sz w:val="22"/>
          <w:szCs w:val="22"/>
        </w:rPr>
        <w:t xml:space="preserve">Ο αριθμός των εισακτέων στο Π.Μ.Σ. ορίζεται κατ’ ανώτατο σε </w:t>
      </w:r>
      <w:r w:rsidR="00B600C4">
        <w:rPr>
          <w:rFonts w:asciiTheme="minorHAnsi" w:hAnsiTheme="minorHAnsi"/>
          <w:sz w:val="22"/>
          <w:szCs w:val="22"/>
        </w:rPr>
        <w:t>30</w:t>
      </w:r>
      <w:r w:rsidRPr="002B4791">
        <w:rPr>
          <w:rFonts w:asciiTheme="minorHAnsi" w:hAnsiTheme="minorHAnsi"/>
          <w:sz w:val="22"/>
          <w:szCs w:val="22"/>
        </w:rPr>
        <w:t xml:space="preserve"> ανά έτος. Ο ακριβής αριθμός για κάθε έτος καθορίζεται σύμφωνα με την υποδομή των τμημάτων, τον αριθμό των διδασκόντων και τις ανάγκες σε ειδικευμένους αποφοίτους.</w:t>
      </w:r>
    </w:p>
    <w:p w:rsidR="006A53BC" w:rsidRPr="00DA3C95" w:rsidRDefault="006A53BC" w:rsidP="004537BD">
      <w:pPr>
        <w:spacing w:after="120"/>
        <w:jc w:val="both"/>
        <w:rPr>
          <w:rFonts w:asciiTheme="minorHAnsi" w:hAnsiTheme="minorHAnsi"/>
          <w:b/>
          <w:sz w:val="22"/>
          <w:szCs w:val="22"/>
        </w:rPr>
      </w:pPr>
      <w:r>
        <w:rPr>
          <w:rFonts w:asciiTheme="minorHAnsi" w:hAnsiTheme="minorHAnsi"/>
          <w:sz w:val="22"/>
          <w:szCs w:val="22"/>
        </w:rPr>
        <w:t xml:space="preserve">Όσον αφορά στη </w:t>
      </w:r>
      <w:r w:rsidRPr="00DA3C95">
        <w:rPr>
          <w:rFonts w:asciiTheme="minorHAnsi" w:hAnsiTheme="minorHAnsi"/>
          <w:b/>
          <w:sz w:val="22"/>
          <w:szCs w:val="22"/>
        </w:rPr>
        <w:t>χρονική του διάρκεια</w:t>
      </w:r>
      <w:r w:rsidR="00E77CF4" w:rsidRPr="00E77CF4">
        <w:rPr>
          <w:rFonts w:asciiTheme="minorHAnsi" w:hAnsiTheme="minorHAnsi"/>
          <w:b/>
          <w:sz w:val="22"/>
          <w:szCs w:val="22"/>
        </w:rPr>
        <w:t xml:space="preserve"> </w:t>
      </w:r>
      <w:r w:rsidR="00E77CF4">
        <w:rPr>
          <w:rFonts w:asciiTheme="minorHAnsi" w:hAnsiTheme="minorHAnsi"/>
          <w:b/>
          <w:sz w:val="22"/>
          <w:szCs w:val="22"/>
        </w:rPr>
        <w:t xml:space="preserve">του </w:t>
      </w:r>
      <w:r w:rsidR="00E77CF4" w:rsidRPr="00DA3C95">
        <w:rPr>
          <w:rFonts w:asciiTheme="minorHAnsi" w:hAnsiTheme="minorHAnsi"/>
          <w:b/>
          <w:color w:val="000000" w:themeColor="text1"/>
          <w:sz w:val="22"/>
          <w:szCs w:val="22"/>
        </w:rPr>
        <w:t>Π.Μ.Σ.</w:t>
      </w:r>
      <w:r w:rsidR="00E77CF4">
        <w:rPr>
          <w:rFonts w:asciiTheme="minorHAnsi" w:hAnsiTheme="minorHAnsi"/>
          <w:b/>
          <w:color w:val="000000" w:themeColor="text1"/>
          <w:sz w:val="22"/>
          <w:szCs w:val="22"/>
        </w:rPr>
        <w:t xml:space="preserve"> </w:t>
      </w:r>
      <w:r w:rsidRPr="00DA3C95">
        <w:rPr>
          <w:rFonts w:asciiTheme="minorHAnsi" w:hAnsiTheme="minorHAnsi"/>
          <w:b/>
          <w:sz w:val="22"/>
          <w:szCs w:val="22"/>
        </w:rPr>
        <w:t>:</w:t>
      </w:r>
    </w:p>
    <w:p w:rsidR="004537BD" w:rsidRPr="002B4791" w:rsidRDefault="004537BD" w:rsidP="004537BD">
      <w:pPr>
        <w:numPr>
          <w:ilvl w:val="0"/>
          <w:numId w:val="1"/>
        </w:numPr>
        <w:tabs>
          <w:tab w:val="clear" w:pos="765"/>
          <w:tab w:val="num" w:pos="360"/>
        </w:tabs>
        <w:spacing w:after="120"/>
        <w:ind w:left="360" w:hanging="360"/>
        <w:jc w:val="both"/>
        <w:rPr>
          <w:rFonts w:asciiTheme="minorHAnsi" w:hAnsiTheme="minorHAnsi"/>
          <w:sz w:val="22"/>
          <w:szCs w:val="22"/>
        </w:rPr>
      </w:pPr>
      <w:r w:rsidRPr="002B4791">
        <w:rPr>
          <w:rFonts w:asciiTheme="minorHAnsi" w:hAnsiTheme="minorHAnsi"/>
          <w:sz w:val="22"/>
          <w:szCs w:val="22"/>
        </w:rPr>
        <w:t xml:space="preserve">Η ελάχιστη χρονική διάρκεια για την απονομή του Τίτλου Σπουδών είναι τρία (3) εξάμηνα. </w:t>
      </w:r>
    </w:p>
    <w:p w:rsidR="004537BD" w:rsidRPr="002B4791" w:rsidRDefault="004537BD" w:rsidP="004537BD">
      <w:pPr>
        <w:numPr>
          <w:ilvl w:val="0"/>
          <w:numId w:val="1"/>
        </w:numPr>
        <w:tabs>
          <w:tab w:val="clear" w:pos="765"/>
          <w:tab w:val="num" w:pos="360"/>
        </w:tabs>
        <w:spacing w:after="120"/>
        <w:ind w:left="360" w:hanging="360"/>
        <w:jc w:val="both"/>
        <w:rPr>
          <w:rFonts w:asciiTheme="minorHAnsi" w:hAnsiTheme="minorHAnsi"/>
          <w:sz w:val="22"/>
          <w:szCs w:val="22"/>
        </w:rPr>
      </w:pPr>
      <w:r w:rsidRPr="002B4791">
        <w:rPr>
          <w:rFonts w:asciiTheme="minorHAnsi" w:hAnsiTheme="minorHAnsi"/>
          <w:sz w:val="22"/>
          <w:szCs w:val="22"/>
        </w:rPr>
        <w:t xml:space="preserve">Η παρακολούθηση κατά τα τρία (3) εξάμηνα σπουδών είναι υποχρεωτική. Μέχρι και το τέλος του δεύτερου εξαμήνου ορίζεται το θέμα για την εκπόνηση της μεταπτυχιακής διπλωματικής εργασίας, η οποία παραδίδεται μέχρι το τέλος του τρίτου εξαμήνου και την ολοκλήρωση των σπουδών. </w:t>
      </w:r>
    </w:p>
    <w:p w:rsidR="004537BD" w:rsidRPr="002B4791" w:rsidRDefault="004537BD" w:rsidP="006A53BC">
      <w:pPr>
        <w:rPr>
          <w:rFonts w:asciiTheme="minorHAnsi" w:hAnsiTheme="minorHAnsi" w:cs="Tahoma"/>
          <w:sz w:val="22"/>
          <w:szCs w:val="22"/>
        </w:rPr>
      </w:pPr>
    </w:p>
    <w:p w:rsidR="004537BD" w:rsidRPr="00DA3C95" w:rsidRDefault="004537BD" w:rsidP="004537BD">
      <w:pPr>
        <w:spacing w:after="120"/>
        <w:rPr>
          <w:rFonts w:asciiTheme="minorHAnsi" w:hAnsiTheme="minorHAnsi"/>
          <w:b/>
          <w:color w:val="000000" w:themeColor="text1"/>
          <w:sz w:val="22"/>
          <w:szCs w:val="22"/>
        </w:rPr>
      </w:pPr>
      <w:r w:rsidRPr="00DA3C95">
        <w:rPr>
          <w:rFonts w:asciiTheme="minorHAnsi" w:hAnsiTheme="minorHAnsi"/>
          <w:b/>
          <w:color w:val="000000" w:themeColor="text1"/>
          <w:sz w:val="22"/>
          <w:szCs w:val="22"/>
        </w:rPr>
        <w:t>Κριτήρια επιλογής των μεταπτυχιακών φοιτητών στο Π.Μ.Σ.</w:t>
      </w:r>
      <w:r w:rsidR="006A53BC" w:rsidRPr="00DA3C95">
        <w:rPr>
          <w:rFonts w:asciiTheme="minorHAnsi" w:hAnsiTheme="minorHAnsi"/>
          <w:b/>
          <w:color w:val="000000" w:themeColor="text1"/>
          <w:sz w:val="22"/>
          <w:szCs w:val="22"/>
        </w:rPr>
        <w:t xml:space="preserve"> :</w:t>
      </w:r>
    </w:p>
    <w:p w:rsidR="004537BD" w:rsidRPr="002B4791" w:rsidRDefault="004537BD" w:rsidP="004537BD">
      <w:pPr>
        <w:spacing w:after="120"/>
        <w:jc w:val="both"/>
        <w:rPr>
          <w:rFonts w:asciiTheme="minorHAnsi" w:hAnsiTheme="minorHAnsi"/>
          <w:color w:val="000000" w:themeColor="text1"/>
          <w:sz w:val="22"/>
          <w:szCs w:val="22"/>
        </w:rPr>
      </w:pPr>
      <w:r w:rsidRPr="002B4791">
        <w:rPr>
          <w:rFonts w:asciiTheme="minorHAnsi" w:hAnsiTheme="minorHAnsi"/>
          <w:color w:val="000000" w:themeColor="text1"/>
          <w:sz w:val="22"/>
          <w:szCs w:val="22"/>
        </w:rPr>
        <w:t>1. Η διαδικασία επιλογής των μεταπτυχιακών φοιτητών πραγματοποιείται σε δύο στάδια. Στο πρώτο στάδιο η επιτροπή αξιολόγησης κατά κατεύθυνση αξιολογεί τον φάκελο του υποψηφίου με βάση τα στοιχεία που εμπεριέχονται σε αυτόν και επιλέγει εκείνους που θα προχωρήσουν σε δεύτερο στάδιο και θα κληθούν στη συνέντευξη. Στο στάδιο της συνέντευξης καλούνται όσοι από τους υποψηφίους έχουν συγκεντρώσει τουλάχιστον το 20% των τυπικών αξιολογικών μονάδων ή έως και τους 100 πρώτους που έχουν συγκεντρώσει τη μεγαλύτερη βαθμολογία των τυπικών αξιολογικών μονάδων.</w:t>
      </w:r>
    </w:p>
    <w:p w:rsidR="004537BD" w:rsidRDefault="004537BD" w:rsidP="004537BD">
      <w:pPr>
        <w:spacing w:after="120"/>
        <w:jc w:val="both"/>
        <w:rPr>
          <w:rFonts w:asciiTheme="minorHAnsi" w:hAnsiTheme="minorHAnsi"/>
          <w:color w:val="000000" w:themeColor="text1"/>
          <w:sz w:val="22"/>
          <w:szCs w:val="22"/>
        </w:rPr>
      </w:pPr>
      <w:r w:rsidRPr="002B4791">
        <w:rPr>
          <w:rFonts w:asciiTheme="minorHAnsi" w:hAnsiTheme="minorHAnsi"/>
          <w:color w:val="000000" w:themeColor="text1"/>
          <w:sz w:val="22"/>
          <w:szCs w:val="22"/>
        </w:rPr>
        <w:t>2. Για την επιλογή των φοιτητών που θα παρακολουθήσουν το Π.Μ.Σ. εκτός των υποχρεωτικών για τη συμμετοχή τους δικαιολογητικών, δηλαδή πτυχίο Α.Ε.Ι. ή Τ.Ε.Ι και γλωσσομάθεια σε επίπεδο Β2, αξιολογούνται:</w:t>
      </w:r>
    </w:p>
    <w:p w:rsidR="00307D58" w:rsidRDefault="00307D58" w:rsidP="00307D58">
      <w:pPr>
        <w:pStyle w:val="ListParagraph"/>
        <w:numPr>
          <w:ilvl w:val="0"/>
          <w:numId w:val="3"/>
        </w:numPr>
        <w:spacing w:after="120"/>
        <w:jc w:val="both"/>
        <w:rPr>
          <w:rFonts w:asciiTheme="minorHAnsi" w:hAnsiTheme="minorHAnsi"/>
          <w:color w:val="000000" w:themeColor="text1"/>
          <w:sz w:val="22"/>
          <w:szCs w:val="22"/>
        </w:rPr>
      </w:pPr>
      <w:r>
        <w:rPr>
          <w:rFonts w:asciiTheme="minorHAnsi" w:hAnsiTheme="minorHAnsi"/>
          <w:color w:val="000000" w:themeColor="text1"/>
          <w:sz w:val="22"/>
          <w:szCs w:val="22"/>
        </w:rPr>
        <w:t>Βαθμός πτυχίου ΑΕΙ ή ΤΕΙ , διπλωματική ή πτυχιακή εργασία</w:t>
      </w:r>
    </w:p>
    <w:p w:rsidR="00307D58" w:rsidRDefault="00307D58" w:rsidP="00307D58">
      <w:pPr>
        <w:pStyle w:val="ListParagraph"/>
        <w:numPr>
          <w:ilvl w:val="0"/>
          <w:numId w:val="3"/>
        </w:numPr>
        <w:spacing w:after="120"/>
        <w:jc w:val="both"/>
        <w:rPr>
          <w:rFonts w:asciiTheme="minorHAnsi" w:hAnsiTheme="minorHAnsi"/>
          <w:color w:val="000000" w:themeColor="text1"/>
          <w:sz w:val="22"/>
          <w:szCs w:val="22"/>
        </w:rPr>
      </w:pPr>
      <w:r>
        <w:rPr>
          <w:rFonts w:asciiTheme="minorHAnsi" w:hAnsiTheme="minorHAnsi"/>
          <w:color w:val="000000" w:themeColor="text1"/>
          <w:sz w:val="22"/>
          <w:szCs w:val="22"/>
        </w:rPr>
        <w:t>Επιπλέον ξένες γλώσσες σε επίπεδο τουλάχιστον Β2</w:t>
      </w:r>
    </w:p>
    <w:p w:rsidR="00307D58" w:rsidRDefault="00307D58" w:rsidP="00307D58">
      <w:pPr>
        <w:pStyle w:val="ListParagraph"/>
        <w:numPr>
          <w:ilvl w:val="0"/>
          <w:numId w:val="3"/>
        </w:numPr>
        <w:spacing w:after="120"/>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Περισσότερα του ενός πτυχία Α.Ε.Ι. </w:t>
      </w:r>
    </w:p>
    <w:p w:rsidR="00307D58" w:rsidRDefault="00307D58" w:rsidP="00307D58">
      <w:pPr>
        <w:pStyle w:val="ListParagraph"/>
        <w:numPr>
          <w:ilvl w:val="0"/>
          <w:numId w:val="3"/>
        </w:numPr>
        <w:spacing w:after="120"/>
        <w:jc w:val="both"/>
        <w:rPr>
          <w:rFonts w:asciiTheme="minorHAnsi" w:hAnsiTheme="minorHAnsi"/>
          <w:color w:val="000000" w:themeColor="text1"/>
          <w:sz w:val="22"/>
          <w:szCs w:val="22"/>
        </w:rPr>
      </w:pPr>
      <w:r>
        <w:rPr>
          <w:rFonts w:asciiTheme="minorHAnsi" w:hAnsiTheme="minorHAnsi"/>
          <w:color w:val="000000" w:themeColor="text1"/>
          <w:sz w:val="22"/>
          <w:szCs w:val="22"/>
        </w:rPr>
        <w:t>Μεταπτυχιακό δίπλωμα ειδίκευσης</w:t>
      </w:r>
    </w:p>
    <w:p w:rsidR="00307D58" w:rsidRDefault="00307D58" w:rsidP="00307D58">
      <w:pPr>
        <w:pStyle w:val="ListParagraph"/>
        <w:numPr>
          <w:ilvl w:val="0"/>
          <w:numId w:val="3"/>
        </w:numPr>
        <w:spacing w:after="120"/>
        <w:jc w:val="both"/>
        <w:rPr>
          <w:rFonts w:asciiTheme="minorHAnsi" w:hAnsiTheme="minorHAnsi"/>
          <w:color w:val="000000" w:themeColor="text1"/>
          <w:sz w:val="22"/>
          <w:szCs w:val="22"/>
        </w:rPr>
      </w:pPr>
      <w:r>
        <w:rPr>
          <w:rFonts w:asciiTheme="minorHAnsi" w:hAnsiTheme="minorHAnsi"/>
          <w:color w:val="000000" w:themeColor="text1"/>
          <w:sz w:val="22"/>
          <w:szCs w:val="22"/>
        </w:rPr>
        <w:t>Διδακτορικό δίπλωμα</w:t>
      </w:r>
    </w:p>
    <w:p w:rsidR="00307D58" w:rsidRDefault="00307D58" w:rsidP="00307D58">
      <w:pPr>
        <w:pStyle w:val="ListParagraph"/>
        <w:numPr>
          <w:ilvl w:val="0"/>
          <w:numId w:val="3"/>
        </w:numPr>
        <w:spacing w:after="120"/>
        <w:jc w:val="both"/>
        <w:rPr>
          <w:rFonts w:asciiTheme="minorHAnsi" w:hAnsiTheme="minorHAnsi"/>
          <w:color w:val="000000" w:themeColor="text1"/>
          <w:sz w:val="22"/>
          <w:szCs w:val="22"/>
        </w:rPr>
      </w:pPr>
      <w:r>
        <w:rPr>
          <w:rFonts w:asciiTheme="minorHAnsi" w:hAnsiTheme="minorHAnsi"/>
          <w:color w:val="000000" w:themeColor="text1"/>
          <w:sz w:val="22"/>
          <w:szCs w:val="22"/>
        </w:rPr>
        <w:t>Δημοσιευμένες επιστημονικές εργασίες</w:t>
      </w:r>
      <w:r w:rsidR="00910F54">
        <w:rPr>
          <w:rFonts w:asciiTheme="minorHAnsi" w:hAnsiTheme="minorHAnsi"/>
          <w:color w:val="000000" w:themeColor="text1"/>
          <w:sz w:val="22"/>
          <w:szCs w:val="22"/>
        </w:rPr>
        <w:t xml:space="preserve"> σε επιστημονικά περιοδικά</w:t>
      </w:r>
    </w:p>
    <w:p w:rsidR="00910F54" w:rsidRPr="00307D58" w:rsidRDefault="00910F54" w:rsidP="00307D58">
      <w:pPr>
        <w:pStyle w:val="ListParagraph"/>
        <w:numPr>
          <w:ilvl w:val="0"/>
          <w:numId w:val="3"/>
        </w:numPr>
        <w:spacing w:after="120"/>
        <w:jc w:val="both"/>
        <w:rPr>
          <w:rFonts w:asciiTheme="minorHAnsi" w:hAnsiTheme="minorHAnsi"/>
          <w:color w:val="000000" w:themeColor="text1"/>
          <w:sz w:val="22"/>
          <w:szCs w:val="22"/>
        </w:rPr>
      </w:pPr>
      <w:r>
        <w:rPr>
          <w:rFonts w:asciiTheme="minorHAnsi" w:hAnsiTheme="minorHAnsi"/>
          <w:color w:val="000000" w:themeColor="text1"/>
          <w:sz w:val="22"/>
          <w:szCs w:val="22"/>
        </w:rPr>
        <w:t>Επιμορφωτικά σεμινάρια</w:t>
      </w:r>
    </w:p>
    <w:p w:rsidR="004537BD" w:rsidRPr="002B4791" w:rsidRDefault="006A53BC" w:rsidP="004537BD">
      <w:pPr>
        <w:spacing w:after="120"/>
        <w:jc w:val="both"/>
        <w:rPr>
          <w:rFonts w:asciiTheme="minorHAnsi" w:hAnsiTheme="minorHAnsi"/>
          <w:color w:val="000000" w:themeColor="text1"/>
          <w:sz w:val="22"/>
          <w:szCs w:val="22"/>
        </w:rPr>
      </w:pPr>
      <w:r>
        <w:rPr>
          <w:rFonts w:asciiTheme="minorHAnsi" w:hAnsiTheme="minorHAnsi"/>
          <w:color w:val="000000" w:themeColor="text1"/>
          <w:sz w:val="22"/>
          <w:szCs w:val="22"/>
        </w:rPr>
        <w:t>3.</w:t>
      </w:r>
      <w:r w:rsidR="00E151C9" w:rsidRPr="002B4791">
        <w:rPr>
          <w:rFonts w:asciiTheme="minorHAnsi" w:hAnsiTheme="minorHAnsi"/>
          <w:color w:val="000000" w:themeColor="text1"/>
          <w:sz w:val="22"/>
          <w:szCs w:val="22"/>
        </w:rPr>
        <w:t>Η απόδοση των υποψηφίων κατά τη διάρκεια προφορικής συνέντευξης</w:t>
      </w:r>
    </w:p>
    <w:p w:rsidR="00E151C9" w:rsidRPr="002B4791" w:rsidRDefault="006A53BC" w:rsidP="004537BD">
      <w:pPr>
        <w:spacing w:after="120"/>
        <w:jc w:val="both"/>
        <w:rPr>
          <w:rFonts w:asciiTheme="minorHAnsi" w:hAnsiTheme="minorHAnsi"/>
          <w:color w:val="000000" w:themeColor="text1"/>
          <w:sz w:val="22"/>
          <w:szCs w:val="22"/>
        </w:rPr>
      </w:pPr>
      <w:r>
        <w:rPr>
          <w:rFonts w:asciiTheme="minorHAnsi" w:hAnsiTheme="minorHAnsi"/>
          <w:color w:val="000000" w:themeColor="text1"/>
          <w:sz w:val="22"/>
          <w:szCs w:val="22"/>
        </w:rPr>
        <w:t>4.</w:t>
      </w:r>
      <w:r w:rsidR="00E151C9" w:rsidRPr="002B4791">
        <w:rPr>
          <w:rFonts w:asciiTheme="minorHAnsi" w:hAnsiTheme="minorHAnsi"/>
          <w:color w:val="000000" w:themeColor="text1"/>
          <w:sz w:val="22"/>
          <w:szCs w:val="22"/>
        </w:rPr>
        <w:t>Τα ειδικά προσόντα των υποψηφίων, όπως αυτά προκύπτουν από τα δικαιολογητικά που οι ίδιοι έχουν καταθέσει στο Τμήμα</w:t>
      </w:r>
      <w:r>
        <w:rPr>
          <w:rFonts w:asciiTheme="minorHAnsi" w:hAnsiTheme="minorHAnsi"/>
          <w:color w:val="000000" w:themeColor="text1"/>
          <w:sz w:val="22"/>
          <w:szCs w:val="22"/>
        </w:rPr>
        <w:t>.</w:t>
      </w:r>
    </w:p>
    <w:p w:rsidR="006A53BC" w:rsidRPr="00F6481C" w:rsidRDefault="00E151C9" w:rsidP="004537BD">
      <w:pPr>
        <w:spacing w:after="120"/>
        <w:jc w:val="both"/>
        <w:rPr>
          <w:rFonts w:asciiTheme="minorHAnsi" w:hAnsiTheme="minorHAnsi"/>
          <w:sz w:val="22"/>
          <w:szCs w:val="22"/>
        </w:rPr>
      </w:pPr>
      <w:r w:rsidRPr="002B4791">
        <w:rPr>
          <w:rFonts w:asciiTheme="minorHAnsi" w:hAnsiTheme="minorHAnsi"/>
          <w:sz w:val="22"/>
          <w:szCs w:val="22"/>
        </w:rPr>
        <w:t>Οι αξιολογικές μονάδες με τις οποίες πιστώθηκε ο υποψήφιος από τα ειδικά προσόντα του και από την απόδοσή του στην προφορική συνέντευξη αθροίζονται και αποτελούν το σύνολο των αξιολογικών μονάδων (</w:t>
      </w:r>
      <w:proofErr w:type="spellStart"/>
      <w:r w:rsidRPr="002B4791">
        <w:rPr>
          <w:rFonts w:asciiTheme="minorHAnsi" w:hAnsiTheme="minorHAnsi"/>
          <w:sz w:val="22"/>
          <w:szCs w:val="22"/>
        </w:rPr>
        <w:t>α.μ</w:t>
      </w:r>
      <w:proofErr w:type="spellEnd"/>
      <w:r w:rsidRPr="002B4791">
        <w:rPr>
          <w:rFonts w:asciiTheme="minorHAnsi" w:hAnsiTheme="minorHAnsi"/>
          <w:sz w:val="22"/>
          <w:szCs w:val="22"/>
        </w:rPr>
        <w:t>) του υποψηφίου. Το σύνολο αυτό καθορίζει τη σειρά επιτυχίας κάθε υποψηφίου</w:t>
      </w:r>
      <w:r w:rsidR="006A53BC">
        <w:rPr>
          <w:rFonts w:asciiTheme="minorHAnsi" w:hAnsiTheme="minorHAnsi"/>
          <w:sz w:val="22"/>
          <w:szCs w:val="22"/>
        </w:rPr>
        <w:t>.</w:t>
      </w:r>
    </w:p>
    <w:p w:rsidR="006A53BC" w:rsidRPr="00DA3C95" w:rsidRDefault="0083119D" w:rsidP="004537BD">
      <w:pPr>
        <w:jc w:val="both"/>
        <w:rPr>
          <w:rFonts w:asciiTheme="minorHAnsi" w:hAnsiTheme="minorHAnsi"/>
          <w:b/>
          <w:color w:val="000000" w:themeColor="text1"/>
          <w:sz w:val="22"/>
          <w:szCs w:val="22"/>
        </w:rPr>
      </w:pPr>
      <w:r>
        <w:rPr>
          <w:rFonts w:asciiTheme="minorHAnsi" w:hAnsiTheme="minorHAnsi"/>
          <w:b/>
          <w:color w:val="000000" w:themeColor="text1"/>
          <w:sz w:val="22"/>
          <w:szCs w:val="22"/>
        </w:rPr>
        <w:t>Δ</w:t>
      </w:r>
      <w:r w:rsidR="006A53BC" w:rsidRPr="00DA3C95">
        <w:rPr>
          <w:rFonts w:asciiTheme="minorHAnsi" w:hAnsiTheme="minorHAnsi"/>
          <w:b/>
          <w:color w:val="000000" w:themeColor="text1"/>
          <w:sz w:val="22"/>
          <w:szCs w:val="22"/>
        </w:rPr>
        <w:t xml:space="preserve">ίδακτρα </w:t>
      </w:r>
    </w:p>
    <w:p w:rsidR="004537BD" w:rsidRPr="002B4791" w:rsidRDefault="004537BD" w:rsidP="004537BD">
      <w:pPr>
        <w:jc w:val="both"/>
        <w:rPr>
          <w:rFonts w:asciiTheme="minorHAnsi" w:hAnsiTheme="minorHAnsi"/>
          <w:color w:val="000000" w:themeColor="text1"/>
          <w:sz w:val="22"/>
          <w:szCs w:val="22"/>
        </w:rPr>
      </w:pPr>
      <w:r w:rsidRPr="002B4791">
        <w:rPr>
          <w:rFonts w:asciiTheme="minorHAnsi" w:hAnsiTheme="minorHAnsi"/>
          <w:color w:val="000000" w:themeColor="text1"/>
          <w:sz w:val="22"/>
          <w:szCs w:val="22"/>
        </w:rPr>
        <w:t>1. Κάθε μεταπτυχιακός φοιτητής που εγγράφεται στο Πρόγραμμα Μεταπτυχιακών Σπουδών υποχρεούται στην καταβολή διδάκτρων για όλο το χρονικό διάστημα της υποχρεωτικής φοίτησής του.</w:t>
      </w:r>
    </w:p>
    <w:p w:rsidR="004537BD" w:rsidRPr="002B4791" w:rsidRDefault="004537BD" w:rsidP="004537BD">
      <w:pPr>
        <w:spacing w:after="120"/>
        <w:jc w:val="both"/>
        <w:rPr>
          <w:rFonts w:asciiTheme="minorHAnsi" w:hAnsiTheme="minorHAnsi"/>
          <w:color w:val="000000" w:themeColor="text1"/>
          <w:sz w:val="22"/>
          <w:szCs w:val="22"/>
        </w:rPr>
      </w:pPr>
      <w:r w:rsidRPr="002B4791">
        <w:rPr>
          <w:rFonts w:asciiTheme="minorHAnsi" w:hAnsiTheme="minorHAnsi"/>
          <w:color w:val="000000" w:themeColor="text1"/>
          <w:sz w:val="22"/>
          <w:szCs w:val="22"/>
        </w:rPr>
        <w:t>2. Τα δίδακτρα για το Π.Μ.Σ. «ΣΧΕΔΙΑΣΜΟΣ ΚΑΙ ΔΙΟΙΚΗΣΗ ΥΠΗΡΕΣΙΩΝ ΥΓΕΙΑΣ» ανέρχονται στο ποσό των 1000€ (Ευρώ) για κάθε εξάμηνο σπουδών.</w:t>
      </w:r>
    </w:p>
    <w:p w:rsidR="004537BD" w:rsidRPr="002B4791" w:rsidRDefault="004537BD" w:rsidP="004537BD">
      <w:pPr>
        <w:spacing w:after="120"/>
        <w:jc w:val="both"/>
        <w:rPr>
          <w:rFonts w:asciiTheme="minorHAnsi" w:hAnsiTheme="minorHAnsi"/>
          <w:color w:val="000000" w:themeColor="text1"/>
          <w:sz w:val="22"/>
          <w:szCs w:val="22"/>
        </w:rPr>
      </w:pPr>
      <w:r w:rsidRPr="002B4791">
        <w:rPr>
          <w:rFonts w:asciiTheme="minorHAnsi" w:hAnsiTheme="minorHAnsi"/>
          <w:color w:val="000000" w:themeColor="text1"/>
          <w:sz w:val="22"/>
          <w:szCs w:val="22"/>
        </w:rPr>
        <w:lastRenderedPageBreak/>
        <w:t xml:space="preserve">3. </w:t>
      </w:r>
      <w:r w:rsidRPr="002B4791">
        <w:rPr>
          <w:rFonts w:asciiTheme="minorHAnsi" w:hAnsiTheme="minorHAnsi"/>
          <w:color w:val="000000" w:themeColor="text1"/>
          <w:sz w:val="22"/>
          <w:szCs w:val="22"/>
          <w:lang w:val="en-US"/>
        </w:rPr>
        <w:t>O</w:t>
      </w:r>
      <w:r w:rsidRPr="002B4791">
        <w:rPr>
          <w:rFonts w:asciiTheme="minorHAnsi" w:hAnsiTheme="minorHAnsi"/>
          <w:color w:val="000000" w:themeColor="text1"/>
          <w:sz w:val="22"/>
          <w:szCs w:val="22"/>
        </w:rPr>
        <w:t>ι φοιτητές έχουν τη δυνατότητα για διακανονισμό των διδάκτρων: Μπορούν να δώσουν το ποσό των 500 ευρώ στην αρχή κάθε εξάμηνου και τα υπόλοιπα 500 λίγο πριν το τέλος του.</w:t>
      </w:r>
    </w:p>
    <w:p w:rsidR="004537BD" w:rsidRDefault="004537BD" w:rsidP="004537BD">
      <w:pPr>
        <w:spacing w:after="120"/>
        <w:jc w:val="both"/>
        <w:rPr>
          <w:rFonts w:asciiTheme="minorHAnsi" w:hAnsiTheme="minorHAnsi"/>
          <w:color w:val="000000" w:themeColor="text1"/>
          <w:sz w:val="22"/>
          <w:szCs w:val="22"/>
        </w:rPr>
      </w:pPr>
      <w:r w:rsidRPr="002B4791">
        <w:rPr>
          <w:rFonts w:asciiTheme="minorHAnsi" w:hAnsiTheme="minorHAnsi"/>
          <w:color w:val="000000" w:themeColor="text1"/>
          <w:sz w:val="22"/>
          <w:szCs w:val="22"/>
        </w:rPr>
        <w:t>4. Τέλος, οι μεταπτυχιακοί φοιτητές θα πρέπει να υποβάλλουν τα αντίστοιχα δίδακτρα που έχει ορίσει το μεταπτυχιακό πρόγραμμα στο λογαριασμό του ΕΛΚΕ και στη συνέχεια να φέρουν τις αποδείξεις της τράπεζας στη γραμματεία του Π.Μ.Σ., οι οποίες θα καταχωρούνται ηλεκτρονικά στο αντίστοιχο σύστημα του ΕΛΚΕ. Τα δίδακτρα χρησιμοποιούνται από το Τμήμα για τις πάσης φύσης δαπάνες που απαιτούνται για την εκπαίδευση των μεταπτυχιακών φοιτητών και γενικά για τη λειτουργία του Π.Μ.Σ. Οποιαδήποτε δαπάνη πραγματοποιείται μετά από απόφαση της Γ.Σ.Ε.Σ.</w:t>
      </w:r>
    </w:p>
    <w:p w:rsidR="0083119D" w:rsidRDefault="0083119D" w:rsidP="004537BD">
      <w:pPr>
        <w:spacing w:after="120"/>
        <w:jc w:val="both"/>
        <w:rPr>
          <w:rFonts w:asciiTheme="minorHAnsi" w:hAnsiTheme="minorHAnsi"/>
          <w:color w:val="000000" w:themeColor="text1"/>
          <w:sz w:val="22"/>
          <w:szCs w:val="22"/>
        </w:rPr>
      </w:pPr>
    </w:p>
    <w:p w:rsidR="003F53D1" w:rsidRPr="00DA3C95" w:rsidRDefault="003F53D1" w:rsidP="0083119D">
      <w:pPr>
        <w:pStyle w:val="Heading2"/>
        <w:spacing w:before="0" w:after="0"/>
        <w:rPr>
          <w:rFonts w:asciiTheme="minorHAnsi" w:hAnsiTheme="minorHAnsi"/>
          <w:color w:val="0D0D0D"/>
          <w:sz w:val="22"/>
          <w:szCs w:val="22"/>
        </w:rPr>
      </w:pPr>
      <w:bookmarkStart w:id="0" w:name="_Toc450566537"/>
      <w:r w:rsidRPr="00DA3C95">
        <w:rPr>
          <w:rFonts w:asciiTheme="minorHAnsi" w:hAnsiTheme="minorHAnsi"/>
          <w:color w:val="0D0D0D"/>
          <w:sz w:val="22"/>
          <w:szCs w:val="22"/>
        </w:rPr>
        <w:t>Υποτροφίες</w:t>
      </w:r>
      <w:bookmarkEnd w:id="0"/>
      <w:r w:rsidRPr="00DA3C95">
        <w:rPr>
          <w:rFonts w:asciiTheme="minorHAnsi" w:hAnsiTheme="minorHAnsi"/>
          <w:color w:val="0D0D0D"/>
          <w:sz w:val="22"/>
          <w:szCs w:val="22"/>
        </w:rPr>
        <w:t xml:space="preserve"> </w:t>
      </w:r>
    </w:p>
    <w:p w:rsidR="003F53D1" w:rsidRPr="002B4791" w:rsidRDefault="003F53D1" w:rsidP="003F53D1">
      <w:pPr>
        <w:jc w:val="both"/>
        <w:rPr>
          <w:rFonts w:asciiTheme="minorHAnsi" w:hAnsiTheme="minorHAnsi" w:cs="Microsoft Sans Serif"/>
          <w:color w:val="0D0D0D"/>
          <w:sz w:val="22"/>
          <w:szCs w:val="22"/>
          <w:lang w:eastAsia="el-GR"/>
        </w:rPr>
      </w:pPr>
      <w:r w:rsidRPr="002B4791">
        <w:rPr>
          <w:rFonts w:asciiTheme="minorHAnsi" w:hAnsiTheme="minorHAnsi"/>
          <w:color w:val="0D0D0D"/>
          <w:sz w:val="22"/>
          <w:szCs w:val="22"/>
        </w:rPr>
        <w:t>Στο πλαίσιο του ΠΜΣ «Σχεδιασμός και Διοίκηση Υπηρεσιών Υγείας» υπάρχει πρόβλεψη παροχής δύο υποτροφιών (του ποσού των 1000 ευρώ)</w:t>
      </w:r>
      <w:r w:rsidRPr="002B4791">
        <w:rPr>
          <w:rFonts w:asciiTheme="minorHAnsi" w:hAnsiTheme="minorHAnsi" w:cs="Microsoft Sans Serif"/>
          <w:color w:val="0D0D0D"/>
          <w:sz w:val="22"/>
          <w:szCs w:val="22"/>
          <w:lang w:eastAsia="el-GR"/>
        </w:rPr>
        <w:t>, λαμβάνοντας υπόψη:</w:t>
      </w:r>
    </w:p>
    <w:p w:rsidR="003F53D1" w:rsidRPr="002B4791" w:rsidRDefault="003F53D1" w:rsidP="003F53D1">
      <w:pPr>
        <w:pStyle w:val="ListParagraph"/>
        <w:numPr>
          <w:ilvl w:val="0"/>
          <w:numId w:val="2"/>
        </w:numPr>
        <w:spacing w:after="120"/>
        <w:contextualSpacing w:val="0"/>
        <w:jc w:val="both"/>
        <w:rPr>
          <w:rFonts w:asciiTheme="minorHAnsi" w:hAnsiTheme="minorHAnsi"/>
          <w:color w:val="0D0D0D"/>
          <w:sz w:val="22"/>
          <w:szCs w:val="22"/>
        </w:rPr>
      </w:pPr>
      <w:r w:rsidRPr="002B4791">
        <w:rPr>
          <w:rFonts w:asciiTheme="minorHAnsi" w:hAnsiTheme="minorHAnsi"/>
          <w:color w:val="0D0D0D"/>
          <w:sz w:val="22"/>
          <w:szCs w:val="22"/>
        </w:rPr>
        <w:t>Επίδοση στα μαθήματα</w:t>
      </w:r>
    </w:p>
    <w:p w:rsidR="003F53D1" w:rsidRPr="00B600C4" w:rsidRDefault="003F53D1" w:rsidP="003F53D1">
      <w:pPr>
        <w:pStyle w:val="ListParagraph"/>
        <w:numPr>
          <w:ilvl w:val="0"/>
          <w:numId w:val="2"/>
        </w:numPr>
        <w:spacing w:after="120"/>
        <w:contextualSpacing w:val="0"/>
        <w:jc w:val="both"/>
        <w:rPr>
          <w:rFonts w:asciiTheme="minorHAnsi" w:hAnsiTheme="minorHAnsi"/>
          <w:color w:val="0D0D0D"/>
          <w:sz w:val="22"/>
          <w:szCs w:val="22"/>
        </w:rPr>
      </w:pPr>
      <w:r w:rsidRPr="002B4791">
        <w:rPr>
          <w:rFonts w:asciiTheme="minorHAnsi" w:hAnsiTheme="minorHAnsi"/>
          <w:color w:val="0D0D0D"/>
          <w:sz w:val="22"/>
          <w:szCs w:val="22"/>
        </w:rPr>
        <w:t>Οικογενειακή κατάσταση</w:t>
      </w:r>
    </w:p>
    <w:p w:rsidR="003F53D1" w:rsidRPr="00B600C4" w:rsidRDefault="003F53D1" w:rsidP="003F53D1">
      <w:pPr>
        <w:pStyle w:val="ListParagraph"/>
        <w:numPr>
          <w:ilvl w:val="0"/>
          <w:numId w:val="2"/>
        </w:numPr>
        <w:spacing w:after="120"/>
        <w:contextualSpacing w:val="0"/>
        <w:jc w:val="both"/>
        <w:rPr>
          <w:rFonts w:asciiTheme="minorHAnsi" w:hAnsiTheme="minorHAnsi"/>
          <w:color w:val="0D0D0D"/>
          <w:sz w:val="22"/>
          <w:szCs w:val="22"/>
        </w:rPr>
      </w:pPr>
      <w:r w:rsidRPr="00B600C4">
        <w:rPr>
          <w:rFonts w:asciiTheme="minorHAnsi" w:hAnsiTheme="minorHAnsi"/>
          <w:color w:val="0D0D0D"/>
          <w:sz w:val="22"/>
          <w:szCs w:val="22"/>
        </w:rPr>
        <w:t>Επαγγελματική κατάσταση</w:t>
      </w:r>
    </w:p>
    <w:p w:rsidR="003F53D1" w:rsidRPr="002B4791" w:rsidRDefault="003F53D1" w:rsidP="004537BD">
      <w:pPr>
        <w:spacing w:after="120"/>
        <w:jc w:val="both"/>
        <w:rPr>
          <w:rFonts w:asciiTheme="minorHAnsi" w:hAnsiTheme="minorHAnsi"/>
          <w:color w:val="000000" w:themeColor="text1"/>
          <w:sz w:val="22"/>
          <w:szCs w:val="22"/>
        </w:rPr>
      </w:pPr>
    </w:p>
    <w:p w:rsidR="0083119D" w:rsidRDefault="0083119D" w:rsidP="004537BD">
      <w:pPr>
        <w:spacing w:after="120"/>
        <w:jc w:val="both"/>
        <w:rPr>
          <w:rFonts w:asciiTheme="minorHAnsi" w:hAnsiTheme="minorHAnsi"/>
          <w:sz w:val="22"/>
          <w:szCs w:val="22"/>
        </w:rPr>
      </w:pPr>
      <w:r>
        <w:rPr>
          <w:rFonts w:asciiTheme="minorHAnsi" w:hAnsiTheme="minorHAnsi"/>
          <w:b/>
          <w:color w:val="000000" w:themeColor="text1"/>
          <w:sz w:val="22"/>
          <w:szCs w:val="22"/>
        </w:rPr>
        <w:t>Δ</w:t>
      </w:r>
      <w:r w:rsidR="002C7DB1" w:rsidRPr="00DA3C95">
        <w:rPr>
          <w:rFonts w:asciiTheme="minorHAnsi" w:hAnsiTheme="minorHAnsi"/>
          <w:b/>
          <w:color w:val="000000" w:themeColor="text1"/>
          <w:sz w:val="22"/>
          <w:szCs w:val="22"/>
        </w:rPr>
        <w:t>ομή τ</w:t>
      </w:r>
      <w:r w:rsidR="004537BD" w:rsidRPr="00DA3C95">
        <w:rPr>
          <w:rFonts w:asciiTheme="minorHAnsi" w:hAnsiTheme="minorHAnsi"/>
          <w:b/>
          <w:color w:val="000000" w:themeColor="text1"/>
          <w:sz w:val="22"/>
          <w:szCs w:val="22"/>
        </w:rPr>
        <w:t>ο</w:t>
      </w:r>
      <w:r w:rsidR="002C7DB1" w:rsidRPr="00DA3C95">
        <w:rPr>
          <w:rFonts w:asciiTheme="minorHAnsi" w:hAnsiTheme="minorHAnsi"/>
          <w:b/>
          <w:color w:val="000000" w:themeColor="text1"/>
          <w:sz w:val="22"/>
          <w:szCs w:val="22"/>
        </w:rPr>
        <w:t>υ</w:t>
      </w:r>
      <w:r w:rsidR="004537BD" w:rsidRPr="00DA3C95">
        <w:rPr>
          <w:rFonts w:asciiTheme="minorHAnsi" w:hAnsiTheme="minorHAnsi"/>
          <w:b/>
          <w:color w:val="000000" w:themeColor="text1"/>
          <w:sz w:val="22"/>
          <w:szCs w:val="22"/>
        </w:rPr>
        <w:t xml:space="preserve"> </w:t>
      </w:r>
      <w:r w:rsidR="002C7DB1" w:rsidRPr="00DA3C95">
        <w:rPr>
          <w:rFonts w:asciiTheme="minorHAnsi" w:hAnsiTheme="minorHAnsi"/>
          <w:b/>
          <w:color w:val="000000" w:themeColor="text1"/>
          <w:sz w:val="22"/>
          <w:szCs w:val="22"/>
        </w:rPr>
        <w:t>Προγράμματος</w:t>
      </w:r>
      <w:r w:rsidR="004537BD" w:rsidRPr="00DA3C95">
        <w:rPr>
          <w:rFonts w:asciiTheme="minorHAnsi" w:hAnsiTheme="minorHAnsi"/>
          <w:b/>
          <w:color w:val="000000" w:themeColor="text1"/>
          <w:sz w:val="22"/>
          <w:szCs w:val="22"/>
        </w:rPr>
        <w:t xml:space="preserve"> Μεταπτυχιακών Σπουδών</w:t>
      </w:r>
      <w:r w:rsidR="004537BD" w:rsidRPr="002B4791">
        <w:rPr>
          <w:rFonts w:asciiTheme="minorHAnsi" w:hAnsiTheme="minorHAnsi"/>
          <w:sz w:val="22"/>
          <w:szCs w:val="22"/>
        </w:rPr>
        <w:t>,</w:t>
      </w:r>
    </w:p>
    <w:p w:rsidR="004537BD" w:rsidRPr="002B4791" w:rsidRDefault="0083119D" w:rsidP="004537BD">
      <w:pPr>
        <w:spacing w:after="120"/>
        <w:jc w:val="both"/>
        <w:rPr>
          <w:rFonts w:asciiTheme="minorHAnsi" w:hAnsiTheme="minorHAnsi"/>
          <w:sz w:val="22"/>
          <w:szCs w:val="22"/>
        </w:rPr>
      </w:pPr>
      <w:r>
        <w:rPr>
          <w:rFonts w:asciiTheme="minorHAnsi" w:hAnsiTheme="minorHAnsi"/>
          <w:sz w:val="22"/>
          <w:szCs w:val="22"/>
        </w:rPr>
        <w:t xml:space="preserve"> Το μεταπτυχιακό πρόγραμμα </w:t>
      </w:r>
      <w:proofErr w:type="spellStart"/>
      <w:r>
        <w:rPr>
          <w:rFonts w:asciiTheme="minorHAnsi" w:hAnsiTheme="minorHAnsi"/>
          <w:sz w:val="22"/>
          <w:szCs w:val="22"/>
        </w:rPr>
        <w:t>ε</w:t>
      </w:r>
      <w:r w:rsidR="004537BD" w:rsidRPr="002B4791">
        <w:rPr>
          <w:rFonts w:asciiTheme="minorHAnsi" w:hAnsiTheme="minorHAnsi"/>
          <w:sz w:val="22"/>
          <w:szCs w:val="22"/>
        </w:rPr>
        <w:t>χει</w:t>
      </w:r>
      <w:proofErr w:type="spellEnd"/>
      <w:r w:rsidR="004537BD" w:rsidRPr="002B4791">
        <w:rPr>
          <w:rFonts w:asciiTheme="minorHAnsi" w:hAnsiTheme="minorHAnsi"/>
          <w:sz w:val="22"/>
          <w:szCs w:val="22"/>
        </w:rPr>
        <w:t xml:space="preserve"> ελάχιστη διάρκεια σπουδών τριών (3) εξαμήνων και δεν μπορεί να υπερβεί τα τέσσερα (4) εξάμηνα. Οδηγεί στο Μεταπτυχιακό Δίπλωμα Ειδίκευσης (Μ.Δ.Ε.) με θέμα: «Σχεδιασμός και Διοίκηση Υπηρεσιών Υγείας» (</w:t>
      </w:r>
      <w:proofErr w:type="spellStart"/>
      <w:r w:rsidR="004537BD" w:rsidRPr="002B4791">
        <w:rPr>
          <w:rFonts w:asciiTheme="minorHAnsi" w:hAnsiTheme="minorHAnsi"/>
          <w:sz w:val="22"/>
          <w:szCs w:val="22"/>
        </w:rPr>
        <w:t>MSc</w:t>
      </w:r>
      <w:proofErr w:type="spellEnd"/>
      <w:r w:rsidR="004537BD" w:rsidRPr="002B4791">
        <w:rPr>
          <w:rFonts w:asciiTheme="minorHAnsi" w:hAnsiTheme="minorHAnsi"/>
          <w:sz w:val="22"/>
          <w:szCs w:val="22"/>
        </w:rPr>
        <w:t xml:space="preserve"> </w:t>
      </w:r>
      <w:proofErr w:type="spellStart"/>
      <w:r w:rsidR="004537BD" w:rsidRPr="002B4791">
        <w:rPr>
          <w:rFonts w:asciiTheme="minorHAnsi" w:hAnsiTheme="minorHAnsi"/>
          <w:sz w:val="22"/>
          <w:szCs w:val="22"/>
        </w:rPr>
        <w:t>in</w:t>
      </w:r>
      <w:proofErr w:type="spellEnd"/>
      <w:r w:rsidR="004537BD" w:rsidRPr="002B4791">
        <w:rPr>
          <w:rFonts w:asciiTheme="minorHAnsi" w:hAnsiTheme="minorHAnsi"/>
          <w:sz w:val="22"/>
          <w:szCs w:val="22"/>
        </w:rPr>
        <w:t xml:space="preserve"> </w:t>
      </w:r>
      <w:proofErr w:type="spellStart"/>
      <w:r w:rsidR="004537BD" w:rsidRPr="002B4791">
        <w:rPr>
          <w:rFonts w:asciiTheme="minorHAnsi" w:hAnsiTheme="minorHAnsi"/>
          <w:sz w:val="22"/>
          <w:szCs w:val="22"/>
        </w:rPr>
        <w:t>Planning</w:t>
      </w:r>
      <w:proofErr w:type="spellEnd"/>
      <w:r w:rsidR="004537BD" w:rsidRPr="002B4791">
        <w:rPr>
          <w:rFonts w:asciiTheme="minorHAnsi" w:hAnsiTheme="minorHAnsi"/>
          <w:sz w:val="22"/>
          <w:szCs w:val="22"/>
        </w:rPr>
        <w:t xml:space="preserve"> </w:t>
      </w:r>
      <w:proofErr w:type="spellStart"/>
      <w:r w:rsidR="004537BD" w:rsidRPr="002B4791">
        <w:rPr>
          <w:rFonts w:asciiTheme="minorHAnsi" w:hAnsiTheme="minorHAnsi"/>
          <w:sz w:val="22"/>
          <w:szCs w:val="22"/>
        </w:rPr>
        <w:t>and</w:t>
      </w:r>
      <w:proofErr w:type="spellEnd"/>
      <w:r w:rsidR="004537BD" w:rsidRPr="002B4791">
        <w:rPr>
          <w:rFonts w:asciiTheme="minorHAnsi" w:hAnsiTheme="minorHAnsi"/>
          <w:sz w:val="22"/>
          <w:szCs w:val="22"/>
        </w:rPr>
        <w:t xml:space="preserve"> </w:t>
      </w:r>
      <w:proofErr w:type="spellStart"/>
      <w:r w:rsidR="004537BD" w:rsidRPr="002B4791">
        <w:rPr>
          <w:rFonts w:asciiTheme="minorHAnsi" w:hAnsiTheme="minorHAnsi"/>
          <w:sz w:val="22"/>
          <w:szCs w:val="22"/>
        </w:rPr>
        <w:t>Management</w:t>
      </w:r>
      <w:proofErr w:type="spellEnd"/>
      <w:r w:rsidR="004537BD" w:rsidRPr="002B4791">
        <w:rPr>
          <w:rFonts w:asciiTheme="minorHAnsi" w:hAnsiTheme="minorHAnsi"/>
          <w:sz w:val="22"/>
          <w:szCs w:val="22"/>
        </w:rPr>
        <w:t xml:space="preserve"> </w:t>
      </w:r>
      <w:proofErr w:type="spellStart"/>
      <w:r w:rsidR="004537BD" w:rsidRPr="002B4791">
        <w:rPr>
          <w:rFonts w:asciiTheme="minorHAnsi" w:hAnsiTheme="minorHAnsi"/>
          <w:sz w:val="22"/>
          <w:szCs w:val="22"/>
        </w:rPr>
        <w:t>of</w:t>
      </w:r>
      <w:proofErr w:type="spellEnd"/>
      <w:r w:rsidR="004537BD" w:rsidRPr="002B4791">
        <w:rPr>
          <w:rFonts w:asciiTheme="minorHAnsi" w:hAnsiTheme="minorHAnsi"/>
          <w:sz w:val="22"/>
          <w:szCs w:val="22"/>
        </w:rPr>
        <w:t xml:space="preserve"> </w:t>
      </w:r>
      <w:proofErr w:type="spellStart"/>
      <w:r w:rsidR="004537BD" w:rsidRPr="002B4791">
        <w:rPr>
          <w:rFonts w:asciiTheme="minorHAnsi" w:hAnsiTheme="minorHAnsi"/>
          <w:sz w:val="22"/>
          <w:szCs w:val="22"/>
        </w:rPr>
        <w:t>Health</w:t>
      </w:r>
      <w:proofErr w:type="spellEnd"/>
      <w:r w:rsidR="004537BD" w:rsidRPr="002B4791">
        <w:rPr>
          <w:rFonts w:asciiTheme="minorHAnsi" w:hAnsiTheme="minorHAnsi"/>
          <w:sz w:val="22"/>
          <w:szCs w:val="22"/>
        </w:rPr>
        <w:t xml:space="preserve"> </w:t>
      </w:r>
      <w:proofErr w:type="spellStart"/>
      <w:r w:rsidR="004537BD" w:rsidRPr="002B4791">
        <w:rPr>
          <w:rFonts w:asciiTheme="minorHAnsi" w:hAnsiTheme="minorHAnsi"/>
          <w:sz w:val="22"/>
          <w:szCs w:val="22"/>
        </w:rPr>
        <w:t>Services</w:t>
      </w:r>
      <w:proofErr w:type="spellEnd"/>
      <w:r w:rsidR="004537BD" w:rsidRPr="002B4791">
        <w:rPr>
          <w:rFonts w:asciiTheme="minorHAnsi" w:hAnsiTheme="minorHAnsi"/>
          <w:sz w:val="22"/>
          <w:szCs w:val="22"/>
        </w:rPr>
        <w:t>).</w:t>
      </w:r>
    </w:p>
    <w:p w:rsidR="004537BD" w:rsidRPr="00B36394" w:rsidRDefault="004537BD" w:rsidP="004537BD">
      <w:pPr>
        <w:spacing w:after="120"/>
        <w:jc w:val="both"/>
        <w:rPr>
          <w:rFonts w:asciiTheme="minorHAnsi" w:hAnsiTheme="minorHAnsi"/>
          <w:color w:val="000000" w:themeColor="text1"/>
          <w:sz w:val="22"/>
          <w:szCs w:val="22"/>
          <w:highlight w:val="yellow"/>
        </w:rPr>
      </w:pPr>
      <w:r w:rsidRPr="002B4791">
        <w:rPr>
          <w:rFonts w:asciiTheme="minorHAnsi" w:hAnsiTheme="minorHAnsi"/>
          <w:color w:val="000000" w:themeColor="text1"/>
          <w:sz w:val="22"/>
          <w:szCs w:val="22"/>
        </w:rPr>
        <w:t>Η αξιολόγηση των υποψηφίων ΜΦ που έχουν εκδηλώσει ενδιαφέρον για την απόκτηση Μεταπτυχιακού Διπλώματος Ειδίκευσης γίνεται από την Επιτροπή Επιλογής που ορίζεται κάθε φορά. Η διαδικασία επιλογής ολοκληρώνεται λαμβάνοντας υπόψη τη συνέντευξη-προφορική εξέταση σε προκαθορισμένη και σχετική με το αντικείμενο του ΠΜΣ ύλη και τα κριτήρια επιλογής που αναφέρονται κάθε φορά στην προκήρυξη (π.χ. Βιογραφικό σημείωμα, βαθμός πτυχίου, τυχόν ερευνητική δραστηριότητα του υποψηφίου, συστατικές επιστολές κ.λπ.), καταρτίζει τον πίνακα των επιτυχόντων και επιλαχόντων Μ</w:t>
      </w:r>
      <w:r w:rsidR="002C7DB1">
        <w:rPr>
          <w:rFonts w:asciiTheme="minorHAnsi" w:hAnsiTheme="minorHAnsi"/>
          <w:color w:val="000000" w:themeColor="text1"/>
          <w:sz w:val="22"/>
          <w:szCs w:val="22"/>
        </w:rPr>
        <w:t xml:space="preserve">εταπτυχιακών </w:t>
      </w:r>
      <w:r w:rsidRPr="002B4791">
        <w:rPr>
          <w:rFonts w:asciiTheme="minorHAnsi" w:hAnsiTheme="minorHAnsi"/>
          <w:color w:val="000000" w:themeColor="text1"/>
          <w:sz w:val="22"/>
          <w:szCs w:val="22"/>
        </w:rPr>
        <w:t>Φ</w:t>
      </w:r>
      <w:r w:rsidR="002C7DB1">
        <w:rPr>
          <w:rFonts w:asciiTheme="minorHAnsi" w:hAnsiTheme="minorHAnsi"/>
          <w:color w:val="000000" w:themeColor="text1"/>
          <w:sz w:val="22"/>
          <w:szCs w:val="22"/>
        </w:rPr>
        <w:t>οιτητών</w:t>
      </w:r>
      <w:r w:rsidRPr="002B4791">
        <w:rPr>
          <w:rFonts w:asciiTheme="minorHAnsi" w:hAnsiTheme="minorHAnsi"/>
          <w:color w:val="000000" w:themeColor="text1"/>
          <w:sz w:val="22"/>
          <w:szCs w:val="22"/>
        </w:rPr>
        <w:t>.</w:t>
      </w:r>
    </w:p>
    <w:p w:rsidR="004537BD" w:rsidRPr="002B4791" w:rsidRDefault="004537BD" w:rsidP="004537BD">
      <w:pPr>
        <w:spacing w:after="120"/>
        <w:jc w:val="both"/>
        <w:rPr>
          <w:rFonts w:asciiTheme="minorHAnsi" w:hAnsiTheme="minorHAnsi"/>
          <w:color w:val="000000" w:themeColor="text1"/>
          <w:sz w:val="22"/>
          <w:szCs w:val="22"/>
        </w:rPr>
      </w:pPr>
      <w:r w:rsidRPr="002B4791">
        <w:rPr>
          <w:rFonts w:asciiTheme="minorHAnsi" w:hAnsiTheme="minorHAnsi"/>
          <w:color w:val="000000" w:themeColor="text1"/>
          <w:sz w:val="22"/>
          <w:szCs w:val="22"/>
        </w:rPr>
        <w:t>Για την απόκτηση του Μ</w:t>
      </w:r>
      <w:r w:rsidR="00B36394">
        <w:rPr>
          <w:rFonts w:asciiTheme="minorHAnsi" w:hAnsiTheme="minorHAnsi"/>
          <w:color w:val="000000" w:themeColor="text1"/>
          <w:sz w:val="22"/>
          <w:szCs w:val="22"/>
        </w:rPr>
        <w:t xml:space="preserve">εταπτυχιακού </w:t>
      </w:r>
      <w:r w:rsidRPr="002B4791">
        <w:rPr>
          <w:rFonts w:asciiTheme="minorHAnsi" w:hAnsiTheme="minorHAnsi"/>
          <w:color w:val="000000" w:themeColor="text1"/>
          <w:sz w:val="22"/>
          <w:szCs w:val="22"/>
        </w:rPr>
        <w:t>Δ</w:t>
      </w:r>
      <w:r w:rsidR="00DA3C95">
        <w:rPr>
          <w:rFonts w:asciiTheme="minorHAnsi" w:hAnsiTheme="minorHAnsi"/>
          <w:color w:val="000000" w:themeColor="text1"/>
          <w:sz w:val="22"/>
          <w:szCs w:val="22"/>
        </w:rPr>
        <w:t xml:space="preserve">ιπλώματος </w:t>
      </w:r>
      <w:r w:rsidRPr="002B4791">
        <w:rPr>
          <w:rFonts w:asciiTheme="minorHAnsi" w:hAnsiTheme="minorHAnsi"/>
          <w:color w:val="000000" w:themeColor="text1"/>
          <w:sz w:val="22"/>
          <w:szCs w:val="22"/>
        </w:rPr>
        <w:t>Ε</w:t>
      </w:r>
      <w:r w:rsidR="00DA3C95">
        <w:rPr>
          <w:rFonts w:asciiTheme="minorHAnsi" w:hAnsiTheme="minorHAnsi"/>
          <w:color w:val="000000" w:themeColor="text1"/>
          <w:sz w:val="22"/>
          <w:szCs w:val="22"/>
        </w:rPr>
        <w:t>ιδίκευσης</w:t>
      </w:r>
      <w:r w:rsidRPr="002B4791">
        <w:rPr>
          <w:rFonts w:asciiTheme="minorHAnsi" w:hAnsiTheme="minorHAnsi"/>
          <w:color w:val="000000" w:themeColor="text1"/>
          <w:sz w:val="22"/>
          <w:szCs w:val="22"/>
        </w:rPr>
        <w:t xml:space="preserve"> είναι υποχρεωτική η παρακολούθηση των μεταπτυχιακών μαθημάτων που ορίζονται από το πρόγραμμα Σπουδών. </w:t>
      </w:r>
    </w:p>
    <w:p w:rsidR="004537BD" w:rsidRPr="00E77CF4" w:rsidRDefault="004537BD" w:rsidP="004537BD">
      <w:pPr>
        <w:rPr>
          <w:rFonts w:asciiTheme="minorHAnsi" w:hAnsiTheme="minorHAnsi"/>
          <w:b/>
          <w:color w:val="0D0D0D"/>
          <w:sz w:val="22"/>
          <w:szCs w:val="22"/>
        </w:rPr>
      </w:pPr>
    </w:p>
    <w:p w:rsidR="004537BD" w:rsidRPr="00DA3C95" w:rsidRDefault="004537BD" w:rsidP="004537BD">
      <w:pPr>
        <w:spacing w:after="120"/>
        <w:rPr>
          <w:rFonts w:asciiTheme="minorHAnsi" w:hAnsiTheme="minorHAnsi"/>
          <w:b/>
          <w:bCs/>
          <w:sz w:val="22"/>
          <w:szCs w:val="22"/>
        </w:rPr>
      </w:pPr>
      <w:r w:rsidRPr="00DA3C95">
        <w:rPr>
          <w:rFonts w:asciiTheme="minorHAnsi" w:hAnsiTheme="minorHAnsi"/>
          <w:b/>
          <w:bCs/>
          <w:sz w:val="22"/>
          <w:szCs w:val="22"/>
        </w:rPr>
        <w:t>Διδασκαλία, Γλώσσα διδασκαλίας, φοίτηση, εξετάσεις</w:t>
      </w:r>
    </w:p>
    <w:p w:rsidR="004537BD" w:rsidRPr="002B4791" w:rsidRDefault="004537BD" w:rsidP="004537BD">
      <w:pPr>
        <w:spacing w:after="120"/>
        <w:jc w:val="both"/>
        <w:rPr>
          <w:rFonts w:asciiTheme="minorHAnsi" w:hAnsiTheme="minorHAnsi"/>
          <w:sz w:val="22"/>
          <w:szCs w:val="22"/>
        </w:rPr>
      </w:pPr>
      <w:r w:rsidRPr="002B4791">
        <w:rPr>
          <w:rFonts w:asciiTheme="minorHAnsi" w:hAnsiTheme="minorHAnsi"/>
          <w:sz w:val="22"/>
          <w:szCs w:val="22"/>
        </w:rPr>
        <w:t>Γλώσσα διδασκαλίας των μαθημάτων είναι η ελληνική και σε περίπτωση προσκεκλημένων εισηγητών από το εξωτερικό η αγγλική.</w:t>
      </w:r>
    </w:p>
    <w:p w:rsidR="004537BD" w:rsidRPr="00B600C4" w:rsidRDefault="004537BD" w:rsidP="00B600C4">
      <w:pPr>
        <w:spacing w:after="120"/>
        <w:jc w:val="both"/>
        <w:rPr>
          <w:rFonts w:asciiTheme="minorHAnsi" w:hAnsiTheme="minorHAnsi"/>
          <w:sz w:val="22"/>
          <w:szCs w:val="22"/>
        </w:rPr>
      </w:pPr>
      <w:r w:rsidRPr="002B4791">
        <w:rPr>
          <w:rFonts w:asciiTheme="minorHAnsi" w:hAnsiTheme="minorHAnsi"/>
          <w:sz w:val="22"/>
          <w:szCs w:val="22"/>
        </w:rPr>
        <w:t xml:space="preserve">Η εξέταση κάθε μαθήματος μπορεί να γίνει προφορικά, γραπτά, με εκπόνηση εργασιών ή με άλλο τρόπο που θα καθορίσει ο </w:t>
      </w:r>
      <w:proofErr w:type="spellStart"/>
      <w:r w:rsidRPr="002B4791">
        <w:rPr>
          <w:rFonts w:asciiTheme="minorHAnsi" w:hAnsiTheme="minorHAnsi"/>
          <w:sz w:val="22"/>
          <w:szCs w:val="22"/>
        </w:rPr>
        <w:t>διδάσκων</w:t>
      </w:r>
      <w:r w:rsidR="00B600C4" w:rsidRPr="00B600C4">
        <w:rPr>
          <w:rFonts w:asciiTheme="minorHAnsi" w:hAnsiTheme="minorHAnsi"/>
          <w:sz w:val="22"/>
          <w:szCs w:val="22"/>
        </w:rPr>
        <w:t>.</w:t>
      </w:r>
      <w:r w:rsidRPr="002B4791">
        <w:rPr>
          <w:rFonts w:asciiTheme="minorHAnsi" w:hAnsiTheme="minorHAnsi"/>
          <w:sz w:val="22"/>
          <w:szCs w:val="22"/>
        </w:rPr>
        <w:t>Οι</w:t>
      </w:r>
      <w:proofErr w:type="spellEnd"/>
      <w:r w:rsidRPr="002B4791">
        <w:rPr>
          <w:rFonts w:asciiTheme="minorHAnsi" w:hAnsiTheme="minorHAnsi"/>
          <w:sz w:val="22"/>
          <w:szCs w:val="22"/>
        </w:rPr>
        <w:t xml:space="preserve"> εξετάσεις πραγματοποιούνται δύο φορές τον χρόνο, στο τέλος κάθε εξαμήνου</w:t>
      </w:r>
      <w:r w:rsidR="00B600C4" w:rsidRPr="00B600C4">
        <w:rPr>
          <w:rFonts w:asciiTheme="minorHAnsi" w:hAnsiTheme="minorHAnsi"/>
          <w:sz w:val="22"/>
          <w:szCs w:val="22"/>
        </w:rPr>
        <w:t>.</w:t>
      </w:r>
    </w:p>
    <w:p w:rsidR="004537BD" w:rsidRPr="002B4791" w:rsidRDefault="004537BD" w:rsidP="004537BD">
      <w:pPr>
        <w:spacing w:before="120"/>
        <w:jc w:val="both"/>
        <w:rPr>
          <w:rFonts w:asciiTheme="minorHAnsi" w:hAnsiTheme="minorHAnsi"/>
          <w:color w:val="000000" w:themeColor="text1"/>
          <w:sz w:val="22"/>
          <w:szCs w:val="22"/>
        </w:rPr>
      </w:pPr>
      <w:r w:rsidRPr="002B4791">
        <w:rPr>
          <w:rFonts w:asciiTheme="minorHAnsi" w:hAnsiTheme="minorHAnsi"/>
          <w:color w:val="000000" w:themeColor="text1"/>
          <w:sz w:val="22"/>
          <w:szCs w:val="22"/>
        </w:rPr>
        <w:t>Για κάθε διδασκόμενο μάθημα προβλέπεται μία περίοδος εξετάσεων, η οποία διενεργείται στο τέλος κάθε ακαδημαϊκού τριμήνου στο οποίο έγινε η διδασκαλία. Σε περίπτωση αποτυχίας, ο μεταπτυχιακός φοιτητής επανεξετάζεται. Για τον τελικό βαθμό στο μάθημα επανεξέτασης, συμψηφίζονται οι βαθμοί της 1</w:t>
      </w:r>
      <w:r w:rsidRPr="002B4791">
        <w:rPr>
          <w:rFonts w:asciiTheme="minorHAnsi" w:hAnsiTheme="minorHAnsi"/>
          <w:color w:val="000000" w:themeColor="text1"/>
          <w:sz w:val="22"/>
          <w:szCs w:val="22"/>
          <w:vertAlign w:val="superscript"/>
        </w:rPr>
        <w:t>ης</w:t>
      </w:r>
      <w:r w:rsidRPr="002B4791">
        <w:rPr>
          <w:rFonts w:asciiTheme="minorHAnsi" w:hAnsiTheme="minorHAnsi"/>
          <w:color w:val="000000" w:themeColor="text1"/>
          <w:sz w:val="22"/>
          <w:szCs w:val="22"/>
        </w:rPr>
        <w:t xml:space="preserve"> και της 2</w:t>
      </w:r>
      <w:r w:rsidRPr="002B4791">
        <w:rPr>
          <w:rFonts w:asciiTheme="minorHAnsi" w:hAnsiTheme="minorHAnsi"/>
          <w:color w:val="000000" w:themeColor="text1"/>
          <w:sz w:val="22"/>
          <w:szCs w:val="22"/>
          <w:vertAlign w:val="superscript"/>
        </w:rPr>
        <w:t>ης</w:t>
      </w:r>
      <w:r w:rsidRPr="002B4791">
        <w:rPr>
          <w:rFonts w:asciiTheme="minorHAnsi" w:hAnsiTheme="minorHAnsi"/>
          <w:color w:val="000000" w:themeColor="text1"/>
          <w:sz w:val="22"/>
          <w:szCs w:val="22"/>
        </w:rPr>
        <w:t xml:space="preserve"> εξέτασης και διαιρούνται δια </w:t>
      </w:r>
      <w:r w:rsidRPr="002B4791">
        <w:rPr>
          <w:rFonts w:asciiTheme="minorHAnsi" w:hAnsiTheme="minorHAnsi"/>
          <w:color w:val="000000" w:themeColor="text1"/>
          <w:sz w:val="22"/>
          <w:szCs w:val="22"/>
        </w:rPr>
        <w:lastRenderedPageBreak/>
        <w:t xml:space="preserve">του δύο. Αν ο τελικός βαθμός είναι κάτω του 5 ο φοιτητής υποχρεούται να επαναλάβει το μάθημα. Κάθε μεταπτυχιακός φοιτητής οφείλει να συγγράψει διπλωματική εργασία σε θέμα συναφές με τα μαθήματα του προγράμματος. </w:t>
      </w:r>
    </w:p>
    <w:p w:rsidR="004537BD" w:rsidRPr="002B4791" w:rsidRDefault="004537BD" w:rsidP="004537BD">
      <w:pPr>
        <w:pStyle w:val="Heading2"/>
        <w:spacing w:before="120" w:after="0"/>
        <w:rPr>
          <w:rFonts w:asciiTheme="minorHAnsi" w:hAnsiTheme="minorHAnsi"/>
          <w:b w:val="0"/>
          <w:color w:val="000000" w:themeColor="text1"/>
          <w:sz w:val="22"/>
          <w:szCs w:val="22"/>
        </w:rPr>
      </w:pPr>
      <w:bookmarkStart w:id="1" w:name="_Toc450566541"/>
      <w:r w:rsidRPr="002B4791">
        <w:rPr>
          <w:rFonts w:asciiTheme="minorHAnsi" w:hAnsiTheme="minorHAnsi"/>
          <w:b w:val="0"/>
          <w:color w:val="000000" w:themeColor="text1"/>
          <w:sz w:val="22"/>
          <w:szCs w:val="22"/>
        </w:rPr>
        <w:t>Εκπόνηση Διπλωματικής εργασίας</w:t>
      </w:r>
      <w:bookmarkEnd w:id="1"/>
    </w:p>
    <w:p w:rsidR="004537BD" w:rsidRPr="002B4791" w:rsidRDefault="004537BD" w:rsidP="004537BD">
      <w:pPr>
        <w:rPr>
          <w:rFonts w:asciiTheme="minorHAnsi" w:hAnsiTheme="minorHAnsi"/>
          <w:color w:val="333333"/>
          <w:sz w:val="22"/>
          <w:szCs w:val="22"/>
        </w:rPr>
      </w:pPr>
      <w:r w:rsidRPr="002B4791">
        <w:rPr>
          <w:rFonts w:asciiTheme="minorHAnsi" w:hAnsiTheme="minorHAnsi"/>
          <w:color w:val="333333"/>
          <w:sz w:val="22"/>
          <w:szCs w:val="22"/>
        </w:rPr>
        <w:t xml:space="preserve">Κάθε μεταπτυχιακός φοιτητής οφείλει να συγγράψει διπλωματική εργασία σε θέμα συναφές με τα μαθήματα του προγράμματος. </w:t>
      </w:r>
    </w:p>
    <w:p w:rsidR="004537BD" w:rsidRDefault="004537BD" w:rsidP="004537BD">
      <w:pPr>
        <w:rPr>
          <w:rFonts w:asciiTheme="minorHAnsi" w:hAnsiTheme="minorHAnsi"/>
          <w:color w:val="333333"/>
          <w:sz w:val="22"/>
          <w:szCs w:val="22"/>
        </w:rPr>
      </w:pPr>
    </w:p>
    <w:p w:rsidR="003F53D1" w:rsidRPr="0083119D" w:rsidRDefault="003F53D1" w:rsidP="003F53D1">
      <w:pPr>
        <w:pStyle w:val="Heading2"/>
        <w:spacing w:before="120" w:after="0"/>
        <w:rPr>
          <w:rFonts w:asciiTheme="minorHAnsi" w:hAnsiTheme="minorHAnsi"/>
          <w:color w:val="000000" w:themeColor="text1"/>
          <w:sz w:val="22"/>
          <w:szCs w:val="22"/>
        </w:rPr>
      </w:pPr>
      <w:r w:rsidRPr="0083119D">
        <w:rPr>
          <w:rFonts w:asciiTheme="minorHAnsi" w:hAnsiTheme="minorHAnsi"/>
          <w:color w:val="000000" w:themeColor="text1"/>
          <w:sz w:val="22"/>
          <w:szCs w:val="22"/>
        </w:rPr>
        <w:t>Εκπόνηση Διπλωματικής εργασίας</w:t>
      </w:r>
    </w:p>
    <w:p w:rsidR="003F53D1" w:rsidRDefault="003F53D1" w:rsidP="003F53D1">
      <w:pPr>
        <w:rPr>
          <w:rFonts w:asciiTheme="minorHAnsi" w:hAnsiTheme="minorHAnsi"/>
          <w:color w:val="000000" w:themeColor="text1"/>
          <w:sz w:val="22"/>
          <w:szCs w:val="22"/>
        </w:rPr>
      </w:pPr>
      <w:r w:rsidRPr="003F53D1">
        <w:rPr>
          <w:rFonts w:asciiTheme="minorHAnsi" w:hAnsiTheme="minorHAnsi"/>
          <w:color w:val="333333"/>
          <w:sz w:val="22"/>
          <w:szCs w:val="22"/>
        </w:rPr>
        <w:t>Κάθε μεταπτυχιακός φοιτητής οφείλει να συγγράψει διπλωματική εργασία σε θέμα συναφές με τα μαθήματα του προγράμματος. Η εκπόνηση της διπλωματικής εργασίας αντιστοιχεί σε 30 ΠΜ. Ο φοιτητής επεξεργάζεται το θέμα και το παρουσιάζει σε ανοικτή παρουσίαση</w:t>
      </w:r>
      <w:r w:rsidRPr="00A405DE">
        <w:rPr>
          <w:rFonts w:asciiTheme="minorHAnsi" w:hAnsiTheme="minorHAnsi"/>
          <w:color w:val="333333"/>
        </w:rPr>
        <w:t>.</w:t>
      </w:r>
      <w:r w:rsidRPr="003F53D1">
        <w:rPr>
          <w:rFonts w:asciiTheme="minorHAnsi" w:hAnsiTheme="minorHAnsi"/>
          <w:color w:val="000000" w:themeColor="text1"/>
        </w:rPr>
        <w:t xml:space="preserve"> </w:t>
      </w:r>
      <w:r w:rsidRPr="003F53D1">
        <w:rPr>
          <w:rFonts w:asciiTheme="minorHAnsi" w:hAnsiTheme="minorHAnsi"/>
          <w:color w:val="000000" w:themeColor="text1"/>
          <w:sz w:val="22"/>
          <w:szCs w:val="22"/>
        </w:rPr>
        <w:t>Η διπλωματική εργασία, κατατίθεται στο τέλος του Γ’ εξαμήνου</w:t>
      </w:r>
      <w:r>
        <w:rPr>
          <w:rFonts w:asciiTheme="minorHAnsi" w:hAnsiTheme="minorHAnsi"/>
          <w:color w:val="000000" w:themeColor="text1"/>
          <w:sz w:val="22"/>
          <w:szCs w:val="22"/>
        </w:rPr>
        <w:t>.</w:t>
      </w:r>
    </w:p>
    <w:p w:rsidR="003F53D1" w:rsidRDefault="003F53D1" w:rsidP="003F53D1">
      <w:pPr>
        <w:rPr>
          <w:rFonts w:asciiTheme="minorHAnsi" w:hAnsiTheme="minorHAnsi"/>
          <w:color w:val="000000" w:themeColor="text1"/>
          <w:sz w:val="22"/>
          <w:szCs w:val="22"/>
        </w:rPr>
      </w:pPr>
      <w:r w:rsidRPr="003F53D1">
        <w:rPr>
          <w:rFonts w:asciiTheme="minorHAnsi" w:hAnsiTheme="minorHAnsi"/>
          <w:color w:val="000000" w:themeColor="text1"/>
          <w:sz w:val="22"/>
          <w:szCs w:val="22"/>
        </w:rPr>
        <w:t xml:space="preserve">Η εργασία γίνεται αποδεκτή κατά πλειοψηφία και βαθμολογείται με κλίμακα 0-10 με άριστα το 10. Η αρνητική ψήφος αιτιολογείται εγγράφως. Αν η μεταπτυχιακή εργασία θεωρείται από την επιτροπή μη ικανοποιητική και βαθμολογηθεί κάτω από τη βάση του 6, τότε η επιτροπή μπορεί να ζητήσει από τον μεταπτυχιακό φοιτητή τη βελτίωση της, την τροποποίηση ορισμένων τμημάτων ή τη ριζική αναμόρφωση της. Στην τελευταία αυτή περίπτωση, η επιτροπή ορίζει συγκεκριμένο χρονικό πλαίσιο μέσα στο οποίο πρέπει να έχει </w:t>
      </w:r>
      <w:proofErr w:type="spellStart"/>
      <w:r w:rsidRPr="003F53D1">
        <w:rPr>
          <w:rFonts w:asciiTheme="minorHAnsi" w:hAnsiTheme="minorHAnsi"/>
          <w:color w:val="000000" w:themeColor="text1"/>
          <w:sz w:val="22"/>
          <w:szCs w:val="22"/>
        </w:rPr>
        <w:t>επανυποβληθεί</w:t>
      </w:r>
      <w:proofErr w:type="spellEnd"/>
      <w:r w:rsidRPr="003F53D1">
        <w:rPr>
          <w:rFonts w:asciiTheme="minorHAnsi" w:hAnsiTheme="minorHAnsi"/>
          <w:color w:val="000000" w:themeColor="text1"/>
          <w:sz w:val="22"/>
          <w:szCs w:val="22"/>
        </w:rPr>
        <w:t xml:space="preserve"> η μεταπτυχιακή εργασία, τροποποιημένη σύμφωνα με τις υποδείξεις </w:t>
      </w:r>
      <w:r w:rsidR="0083119D">
        <w:rPr>
          <w:rFonts w:asciiTheme="minorHAnsi" w:hAnsiTheme="minorHAnsi"/>
          <w:color w:val="000000" w:themeColor="text1"/>
          <w:sz w:val="22"/>
          <w:szCs w:val="22"/>
        </w:rPr>
        <w:t>της.</w:t>
      </w:r>
    </w:p>
    <w:p w:rsidR="0083119D" w:rsidRDefault="0083119D" w:rsidP="003F53D1">
      <w:pPr>
        <w:rPr>
          <w:rFonts w:asciiTheme="minorHAnsi" w:hAnsiTheme="minorHAnsi"/>
          <w:color w:val="000000" w:themeColor="text1"/>
          <w:sz w:val="22"/>
          <w:szCs w:val="22"/>
        </w:rPr>
      </w:pPr>
    </w:p>
    <w:p w:rsidR="0083119D" w:rsidRPr="00A405DE" w:rsidRDefault="0083119D" w:rsidP="0083119D">
      <w:pPr>
        <w:pStyle w:val="Heading2"/>
        <w:spacing w:before="120" w:after="0"/>
        <w:rPr>
          <w:rFonts w:asciiTheme="minorHAnsi" w:hAnsiTheme="minorHAnsi"/>
        </w:rPr>
      </w:pPr>
      <w:bookmarkStart w:id="2" w:name="_Toc450566543"/>
      <w:r w:rsidRPr="0083119D">
        <w:rPr>
          <w:rFonts w:asciiTheme="minorHAnsi" w:hAnsiTheme="minorHAnsi"/>
          <w:sz w:val="22"/>
          <w:szCs w:val="22"/>
        </w:rPr>
        <w:t>Διδακτικό προσωπικό</w:t>
      </w:r>
      <w:bookmarkEnd w:id="2"/>
    </w:p>
    <w:p w:rsidR="0083119D" w:rsidRDefault="0083119D" w:rsidP="0083119D">
      <w:pPr>
        <w:jc w:val="both"/>
        <w:rPr>
          <w:rFonts w:asciiTheme="minorHAnsi" w:hAnsiTheme="minorHAnsi"/>
          <w:sz w:val="22"/>
          <w:szCs w:val="22"/>
        </w:rPr>
      </w:pPr>
      <w:r w:rsidRPr="0083119D">
        <w:rPr>
          <w:rFonts w:asciiTheme="minorHAnsi" w:hAnsiTheme="minorHAnsi"/>
          <w:sz w:val="22"/>
          <w:szCs w:val="22"/>
        </w:rPr>
        <w:t>Κριτήρια επιλογής των διδασκόντων στο ΠΜΣ που συνεκτιμώνται είναι:</w:t>
      </w:r>
    </w:p>
    <w:p w:rsidR="0083119D" w:rsidRPr="0083119D" w:rsidRDefault="0083119D" w:rsidP="0083119D">
      <w:pPr>
        <w:jc w:val="both"/>
        <w:rPr>
          <w:rFonts w:asciiTheme="minorHAnsi" w:hAnsiTheme="minorHAnsi"/>
          <w:sz w:val="22"/>
          <w:szCs w:val="22"/>
        </w:rPr>
      </w:pPr>
    </w:p>
    <w:p w:rsidR="0083119D" w:rsidRPr="0083119D" w:rsidRDefault="0083119D" w:rsidP="0083119D">
      <w:pPr>
        <w:jc w:val="both"/>
        <w:rPr>
          <w:rFonts w:asciiTheme="minorHAnsi" w:hAnsiTheme="minorHAnsi"/>
          <w:sz w:val="22"/>
          <w:szCs w:val="22"/>
        </w:rPr>
      </w:pPr>
      <w:r w:rsidRPr="0083119D">
        <w:rPr>
          <w:rFonts w:asciiTheme="minorHAnsi" w:hAnsiTheme="minorHAnsi"/>
          <w:sz w:val="22"/>
          <w:szCs w:val="22"/>
        </w:rPr>
        <w:t>Α. Η επιστημονική ειδίκευση σε ένα από τα θεματικά πεδία του ΠΜΣ</w:t>
      </w:r>
    </w:p>
    <w:p w:rsidR="0083119D" w:rsidRPr="0083119D" w:rsidRDefault="0083119D" w:rsidP="0083119D">
      <w:pPr>
        <w:jc w:val="both"/>
        <w:rPr>
          <w:rFonts w:asciiTheme="minorHAnsi" w:hAnsiTheme="minorHAnsi"/>
          <w:sz w:val="22"/>
          <w:szCs w:val="22"/>
        </w:rPr>
      </w:pPr>
      <w:r w:rsidRPr="0083119D">
        <w:rPr>
          <w:rFonts w:asciiTheme="minorHAnsi" w:hAnsiTheme="minorHAnsi"/>
          <w:sz w:val="22"/>
          <w:szCs w:val="22"/>
        </w:rPr>
        <w:t>Β. Η επιστημονική ευθύνη ή η ενεργός συμμετοχή σε έρευνες/ προγράμματα που ασχολούνται με θέματα του ευρύτερου πεδίου της διοίκησης</w:t>
      </w:r>
    </w:p>
    <w:p w:rsidR="0083119D" w:rsidRPr="0083119D" w:rsidRDefault="0083119D" w:rsidP="0083119D">
      <w:pPr>
        <w:jc w:val="both"/>
        <w:rPr>
          <w:rFonts w:asciiTheme="minorHAnsi" w:hAnsiTheme="minorHAnsi"/>
          <w:sz w:val="22"/>
          <w:szCs w:val="22"/>
        </w:rPr>
      </w:pPr>
      <w:r w:rsidRPr="0083119D">
        <w:rPr>
          <w:rFonts w:asciiTheme="minorHAnsi" w:hAnsiTheme="minorHAnsi"/>
          <w:sz w:val="22"/>
          <w:szCs w:val="22"/>
        </w:rPr>
        <w:t>Γ. Το εν γένει επιστημονικό έργο και πρακτικό ενδιαφέρον στο αντικείμενο του ΠΜΣ</w:t>
      </w:r>
    </w:p>
    <w:p w:rsidR="0083119D" w:rsidRPr="0083119D" w:rsidRDefault="0083119D" w:rsidP="0083119D">
      <w:pPr>
        <w:jc w:val="both"/>
        <w:rPr>
          <w:rFonts w:asciiTheme="minorHAnsi" w:hAnsiTheme="minorHAnsi"/>
          <w:sz w:val="22"/>
          <w:szCs w:val="22"/>
        </w:rPr>
      </w:pPr>
      <w:r w:rsidRPr="0083119D">
        <w:rPr>
          <w:rFonts w:asciiTheme="minorHAnsi" w:hAnsiTheme="minorHAnsi"/>
          <w:sz w:val="22"/>
          <w:szCs w:val="22"/>
        </w:rPr>
        <w:t>Δ. Προηγούμενη διδακτική εμπειρία στο αντικείμενο του ΠΜΣ</w:t>
      </w:r>
    </w:p>
    <w:p w:rsidR="0083119D" w:rsidRDefault="0083119D" w:rsidP="0083119D">
      <w:pPr>
        <w:rPr>
          <w:rFonts w:asciiTheme="minorHAnsi" w:hAnsiTheme="minorHAnsi"/>
          <w:sz w:val="22"/>
          <w:szCs w:val="22"/>
        </w:rPr>
      </w:pPr>
      <w:proofErr w:type="spellStart"/>
      <w:r w:rsidRPr="0083119D">
        <w:rPr>
          <w:rFonts w:asciiTheme="minorHAnsi" w:hAnsiTheme="minorHAnsi"/>
          <w:sz w:val="22"/>
          <w:szCs w:val="22"/>
        </w:rPr>
        <w:t>Κατ΄</w:t>
      </w:r>
      <w:proofErr w:type="spellEnd"/>
      <w:r w:rsidRPr="0083119D">
        <w:rPr>
          <w:rFonts w:asciiTheme="minorHAnsi" w:hAnsiTheme="minorHAnsi"/>
          <w:sz w:val="22"/>
          <w:szCs w:val="22"/>
        </w:rPr>
        <w:t xml:space="preserve"> εξαίρεση καλούνται και επιστήμονες ή επαγγελματίες χωρίς ΔΔ αλλά με αναγνωρισμένο κύρος και ειδίκευση σε συγκεκριμένο αντικείμενο που εμπίπτει στο πεδίο του ΠΜΣ.</w:t>
      </w:r>
    </w:p>
    <w:p w:rsidR="0083119D" w:rsidRDefault="0083119D" w:rsidP="0083119D">
      <w:pPr>
        <w:rPr>
          <w:rFonts w:asciiTheme="minorHAnsi" w:hAnsiTheme="minorHAnsi"/>
          <w:sz w:val="22"/>
          <w:szCs w:val="22"/>
        </w:rPr>
      </w:pPr>
    </w:p>
    <w:p w:rsidR="0083119D" w:rsidRPr="00A405DE" w:rsidRDefault="0083119D" w:rsidP="0083119D">
      <w:pPr>
        <w:pStyle w:val="Heading2"/>
        <w:spacing w:before="120" w:after="0"/>
        <w:rPr>
          <w:rFonts w:asciiTheme="minorHAnsi" w:hAnsiTheme="minorHAnsi"/>
        </w:rPr>
      </w:pPr>
      <w:r w:rsidRPr="00A405DE">
        <w:rPr>
          <w:rFonts w:asciiTheme="minorHAnsi" w:hAnsiTheme="minorHAnsi"/>
        </w:rPr>
        <w:t>Οικονομική στήριξη</w:t>
      </w:r>
    </w:p>
    <w:p w:rsidR="0083119D" w:rsidRPr="0083119D" w:rsidRDefault="0083119D" w:rsidP="0083119D">
      <w:pPr>
        <w:spacing w:before="120"/>
        <w:jc w:val="both"/>
        <w:rPr>
          <w:rFonts w:asciiTheme="minorHAnsi" w:hAnsiTheme="minorHAnsi"/>
          <w:color w:val="000000" w:themeColor="text1"/>
          <w:sz w:val="22"/>
          <w:szCs w:val="22"/>
        </w:rPr>
      </w:pPr>
      <w:r w:rsidRPr="0083119D">
        <w:rPr>
          <w:rFonts w:asciiTheme="minorHAnsi" w:hAnsiTheme="minorHAnsi"/>
          <w:color w:val="000000" w:themeColor="text1"/>
          <w:sz w:val="22"/>
          <w:szCs w:val="22"/>
        </w:rPr>
        <w:t>Οι ΜΦ δικαιούνται όλες τις παροχές των προπτυχιακών Φοιτητών όπως αυτές καθορίζονται από τους Νόμους 1268/82 και 2083/92 (κουπόνια σίτισης, φοιτητικό εισιτήριο, μειωμένα έξοδα συμμετοχής σε ορισμένες πολιτιστικές και ψυχαγωγικές εκδηλώσεις, ασφάλιση μέσω του Πανεπιστημίου, κ.λπ.).</w:t>
      </w:r>
    </w:p>
    <w:p w:rsidR="0083119D" w:rsidRPr="0083119D" w:rsidRDefault="0083119D" w:rsidP="0083119D">
      <w:pPr>
        <w:rPr>
          <w:rFonts w:asciiTheme="minorHAnsi" w:hAnsiTheme="minorHAnsi"/>
          <w:color w:val="333333"/>
          <w:sz w:val="22"/>
          <w:szCs w:val="22"/>
        </w:rPr>
      </w:pPr>
    </w:p>
    <w:p w:rsidR="003F53D1" w:rsidRPr="0083119D" w:rsidRDefault="003F53D1" w:rsidP="003F53D1">
      <w:pPr>
        <w:rPr>
          <w:rFonts w:asciiTheme="minorHAnsi" w:hAnsiTheme="minorHAnsi"/>
          <w:color w:val="333333"/>
          <w:sz w:val="22"/>
          <w:szCs w:val="22"/>
        </w:rPr>
      </w:pPr>
    </w:p>
    <w:p w:rsidR="004537BD" w:rsidRDefault="004537BD" w:rsidP="004537BD">
      <w:pPr>
        <w:rPr>
          <w:rFonts w:asciiTheme="minorHAnsi" w:hAnsiTheme="minorHAnsi"/>
          <w:b/>
          <w:sz w:val="22"/>
          <w:szCs w:val="22"/>
        </w:rPr>
      </w:pPr>
      <w:r w:rsidRPr="00DA3C95">
        <w:rPr>
          <w:rFonts w:asciiTheme="minorHAnsi" w:hAnsiTheme="minorHAnsi"/>
          <w:b/>
          <w:sz w:val="22"/>
          <w:szCs w:val="22"/>
        </w:rPr>
        <w:t>Διευθυντής του Π.Μ.Σ.</w:t>
      </w:r>
    </w:p>
    <w:p w:rsidR="00307D58" w:rsidRDefault="00307D58" w:rsidP="004537BD">
      <w:pPr>
        <w:rPr>
          <w:rFonts w:asciiTheme="minorHAnsi" w:hAnsiTheme="minorHAnsi"/>
          <w:b/>
          <w:sz w:val="22"/>
          <w:szCs w:val="22"/>
        </w:rPr>
      </w:pPr>
    </w:p>
    <w:p w:rsidR="000A57A8" w:rsidRPr="003A5F4A" w:rsidRDefault="000A57A8" w:rsidP="000A57A8">
      <w:pPr>
        <w:jc w:val="both"/>
        <w:rPr>
          <w:rFonts w:ascii="Trebuchet MS" w:hAnsi="Trebuchet MS"/>
        </w:rPr>
      </w:pPr>
      <w:r w:rsidRPr="000A57A8">
        <w:rPr>
          <w:rFonts w:asciiTheme="minorHAnsi" w:hAnsiTheme="minorHAnsi"/>
          <w:sz w:val="22"/>
          <w:szCs w:val="22"/>
        </w:rPr>
        <w:t>Ο Γιάννης Τούντας είναι Καθηγητής Κοινωνικής και Προληπτικής Ιατρικής στην Ιατρική Σχολή του Πανεπιστημίου Αθηνών. Έχει σπουδάσει Βιολογία (</w:t>
      </w:r>
      <w:r w:rsidRPr="000A57A8">
        <w:rPr>
          <w:rFonts w:asciiTheme="minorHAnsi" w:hAnsiTheme="minorHAnsi"/>
          <w:sz w:val="22"/>
          <w:szCs w:val="22"/>
          <w:lang w:val="en-US"/>
        </w:rPr>
        <w:t>Bachelor</w:t>
      </w:r>
      <w:r w:rsidRPr="000A57A8">
        <w:rPr>
          <w:rFonts w:asciiTheme="minorHAnsi" w:hAnsiTheme="minorHAnsi"/>
          <w:sz w:val="22"/>
          <w:szCs w:val="22"/>
        </w:rPr>
        <w:t>) και Δημόσια Υγεία (</w:t>
      </w:r>
      <w:r w:rsidRPr="000A57A8">
        <w:rPr>
          <w:rFonts w:asciiTheme="minorHAnsi" w:hAnsiTheme="minorHAnsi"/>
          <w:sz w:val="22"/>
          <w:szCs w:val="22"/>
          <w:lang w:val="en-US"/>
        </w:rPr>
        <w:t>Master</w:t>
      </w:r>
      <w:r w:rsidRPr="000A57A8">
        <w:rPr>
          <w:rFonts w:asciiTheme="minorHAnsi" w:hAnsiTheme="minorHAnsi"/>
          <w:sz w:val="22"/>
          <w:szCs w:val="22"/>
        </w:rPr>
        <w:t xml:space="preserve">) στο Πανεπιστήμιο </w:t>
      </w:r>
      <w:r w:rsidRPr="000A57A8">
        <w:rPr>
          <w:rFonts w:asciiTheme="minorHAnsi" w:hAnsiTheme="minorHAnsi"/>
          <w:sz w:val="22"/>
          <w:szCs w:val="22"/>
          <w:lang w:val="en-US"/>
        </w:rPr>
        <w:t>Harvard</w:t>
      </w:r>
      <w:r w:rsidRPr="000A57A8">
        <w:rPr>
          <w:rFonts w:asciiTheme="minorHAnsi" w:hAnsiTheme="minorHAnsi"/>
          <w:sz w:val="22"/>
          <w:szCs w:val="22"/>
        </w:rPr>
        <w:t>, καθώς και Ιατρική στο Πανεπιστήμιο Αθηνών. Είναι διευθυντής του Κέντρου Μελετών Υπηρεσιών Υγείας του Εργαστηρίου Υγιεινής, Επιδημιολογίας και Ιατρικής Στατιστικής της Ιατρικής Σχολής του Πανεπιστημίου Αθηνών, καθώς και του Ινστιτούτου Κοινωνικής και Προληπτικής Ιατρικής.</w:t>
      </w:r>
      <w:r w:rsidRPr="000A57A8">
        <w:rPr>
          <w:rFonts w:ascii="Trebuchet MS" w:hAnsi="Trebuchet MS"/>
        </w:rPr>
        <w:t xml:space="preserve"> </w:t>
      </w:r>
      <w:r w:rsidRPr="000A57A8">
        <w:rPr>
          <w:rFonts w:asciiTheme="minorHAnsi" w:hAnsiTheme="minorHAnsi"/>
          <w:sz w:val="22"/>
          <w:szCs w:val="22"/>
        </w:rPr>
        <w:t xml:space="preserve">Είναι Πρόεδρος της Ελληνικής Εταιρείας Προαγωγής και Αγωγής Υγείας, καθώς και πρόεδρος των Επιστημονικών Επιτροπών του Εθνικού Δικτύου Νοσοκομείων και Υπηρεσιών Προαγωγής </w:t>
      </w:r>
      <w:r w:rsidRPr="000A57A8">
        <w:rPr>
          <w:rFonts w:asciiTheme="minorHAnsi" w:hAnsiTheme="minorHAnsi"/>
          <w:sz w:val="22"/>
          <w:szCs w:val="22"/>
        </w:rPr>
        <w:lastRenderedPageBreak/>
        <w:t xml:space="preserve">Υγείας και του Εθνικού Διαδημοτικού Δικτύου Υγιών Πόλεων-Προαγωγής Υγείας. Είναι επίσης εκδότης του περιοδικού Προαγωγής Υγείας «Νέα Υγεία» και Πρόεδρος της Ειδικής </w:t>
      </w:r>
      <w:proofErr w:type="spellStart"/>
      <w:r w:rsidRPr="000A57A8">
        <w:rPr>
          <w:rFonts w:asciiTheme="minorHAnsi" w:hAnsiTheme="minorHAnsi"/>
          <w:sz w:val="22"/>
          <w:szCs w:val="22"/>
        </w:rPr>
        <w:t>Μονοτμηματικής</w:t>
      </w:r>
      <w:proofErr w:type="spellEnd"/>
      <w:r w:rsidRPr="000A57A8">
        <w:rPr>
          <w:rFonts w:asciiTheme="minorHAnsi" w:hAnsiTheme="minorHAnsi"/>
          <w:sz w:val="22"/>
          <w:szCs w:val="22"/>
        </w:rPr>
        <w:t xml:space="preserve"> Επιτροπής του Μεταπτυχιακού Προγράμματος Σπουδών «Σχεδιασμός και Διοίκηση Υπηρεσιών Υγείας».</w:t>
      </w:r>
      <w:r w:rsidRPr="000A57A8">
        <w:rPr>
          <w:rFonts w:ascii="Trebuchet MS" w:hAnsi="Trebuchet MS"/>
        </w:rPr>
        <w:t xml:space="preserve"> </w:t>
      </w:r>
      <w:r w:rsidRPr="000A57A8">
        <w:rPr>
          <w:rFonts w:asciiTheme="minorHAnsi" w:hAnsiTheme="minorHAnsi"/>
          <w:sz w:val="22"/>
          <w:szCs w:val="22"/>
        </w:rPr>
        <w:t>Είναι συγγραφέας 10 βιβλίων και έχει δημοσιεύσει περισσότερες από 200 επιστημονικές εργασίες.</w:t>
      </w:r>
      <w:r>
        <w:rPr>
          <w:rFonts w:ascii="Trebuchet MS" w:hAnsi="Trebuchet MS"/>
        </w:rPr>
        <w:t xml:space="preserve">  </w:t>
      </w:r>
    </w:p>
    <w:p w:rsidR="000A57A8" w:rsidRPr="000A57A8" w:rsidRDefault="000A57A8" w:rsidP="000A57A8">
      <w:pPr>
        <w:jc w:val="both"/>
        <w:rPr>
          <w:rFonts w:asciiTheme="minorHAnsi" w:hAnsiTheme="minorHAnsi"/>
          <w:sz w:val="22"/>
          <w:szCs w:val="22"/>
        </w:rPr>
      </w:pPr>
    </w:p>
    <w:p w:rsidR="000A57A8" w:rsidRDefault="00F92902" w:rsidP="000A57A8">
      <w:pPr>
        <w:jc w:val="both"/>
        <w:rPr>
          <w:rFonts w:asciiTheme="minorHAnsi" w:hAnsiTheme="minorHAnsi"/>
          <w:sz w:val="22"/>
          <w:szCs w:val="22"/>
        </w:rPr>
      </w:pPr>
      <w:bookmarkStart w:id="3" w:name="_GoBack"/>
      <w:proofErr w:type="spellStart"/>
      <w:r>
        <w:rPr>
          <w:rFonts w:asciiTheme="minorHAnsi" w:hAnsiTheme="minorHAnsi"/>
          <w:sz w:val="22"/>
          <w:szCs w:val="22"/>
        </w:rPr>
        <w:t>Τηλ</w:t>
      </w:r>
      <w:proofErr w:type="spellEnd"/>
      <w:r>
        <w:rPr>
          <w:rFonts w:asciiTheme="minorHAnsi" w:hAnsiTheme="minorHAnsi"/>
          <w:sz w:val="22"/>
          <w:szCs w:val="22"/>
        </w:rPr>
        <w:t>. επικοινωνίας 210-746-2104</w:t>
      </w:r>
    </w:p>
    <w:p w:rsidR="00F92902" w:rsidRDefault="00F92902" w:rsidP="000A57A8">
      <w:pPr>
        <w:jc w:val="both"/>
        <w:rPr>
          <w:rFonts w:asciiTheme="minorHAnsi" w:hAnsiTheme="minorHAnsi"/>
          <w:sz w:val="22"/>
          <w:szCs w:val="22"/>
        </w:rPr>
      </w:pPr>
      <w:r>
        <w:rPr>
          <w:rFonts w:asciiTheme="minorHAnsi" w:hAnsiTheme="minorHAnsi"/>
          <w:sz w:val="22"/>
          <w:szCs w:val="22"/>
        </w:rPr>
        <w:t xml:space="preserve">Συντονίστρια Π.Μ.Σ.: κα </w:t>
      </w:r>
      <w:proofErr w:type="spellStart"/>
      <w:r>
        <w:rPr>
          <w:rFonts w:asciiTheme="minorHAnsi" w:hAnsiTheme="minorHAnsi"/>
          <w:sz w:val="22"/>
          <w:szCs w:val="22"/>
        </w:rPr>
        <w:t>Τούπου</w:t>
      </w:r>
      <w:proofErr w:type="spellEnd"/>
      <w:r>
        <w:rPr>
          <w:rFonts w:asciiTheme="minorHAnsi" w:hAnsiTheme="minorHAnsi"/>
          <w:sz w:val="22"/>
          <w:szCs w:val="22"/>
        </w:rPr>
        <w:t xml:space="preserve"> Ιωάννα</w:t>
      </w:r>
    </w:p>
    <w:p w:rsidR="00F92902" w:rsidRPr="00F92902" w:rsidRDefault="00F92902" w:rsidP="000A57A8">
      <w:pPr>
        <w:jc w:val="both"/>
        <w:rPr>
          <w:rFonts w:asciiTheme="minorHAnsi" w:hAnsiTheme="minorHAnsi"/>
          <w:sz w:val="22"/>
          <w:szCs w:val="22"/>
          <w:lang w:val="en-US"/>
        </w:rPr>
      </w:pPr>
      <w:r>
        <w:rPr>
          <w:rFonts w:asciiTheme="minorHAnsi" w:hAnsiTheme="minorHAnsi"/>
          <w:sz w:val="22"/>
          <w:szCs w:val="22"/>
        </w:rPr>
        <w:t>Ε</w:t>
      </w:r>
      <w:r>
        <w:rPr>
          <w:rFonts w:asciiTheme="minorHAnsi" w:hAnsiTheme="minorHAnsi"/>
          <w:sz w:val="22"/>
          <w:szCs w:val="22"/>
          <w:lang w:val="en-US"/>
        </w:rPr>
        <w:t>mail</w:t>
      </w:r>
      <w:r w:rsidRPr="00F92902">
        <w:rPr>
          <w:rFonts w:asciiTheme="minorHAnsi" w:hAnsiTheme="minorHAnsi"/>
          <w:sz w:val="22"/>
          <w:szCs w:val="22"/>
          <w:lang w:val="en-US"/>
        </w:rPr>
        <w:t xml:space="preserve">: </w:t>
      </w:r>
      <w:hyperlink r:id="rId7" w:history="1">
        <w:r w:rsidRPr="00676E2B">
          <w:rPr>
            <w:rStyle w:val="Hyperlink"/>
            <w:rFonts w:asciiTheme="minorHAnsi" w:hAnsiTheme="minorHAnsi"/>
            <w:sz w:val="22"/>
            <w:szCs w:val="22"/>
            <w:lang w:val="en-US"/>
          </w:rPr>
          <w:t>secr.hsmp@gmail.com</w:t>
        </w:r>
      </w:hyperlink>
    </w:p>
    <w:p w:rsidR="00F92902" w:rsidRPr="00F92902" w:rsidRDefault="00F92902" w:rsidP="000A57A8">
      <w:pPr>
        <w:jc w:val="both"/>
        <w:rPr>
          <w:rFonts w:asciiTheme="minorHAnsi" w:hAnsiTheme="minorHAnsi"/>
          <w:sz w:val="22"/>
          <w:szCs w:val="22"/>
          <w:lang w:val="en-US"/>
        </w:rPr>
      </w:pPr>
      <w:r>
        <w:rPr>
          <w:rFonts w:asciiTheme="minorHAnsi" w:hAnsiTheme="minorHAnsi"/>
          <w:sz w:val="22"/>
          <w:szCs w:val="22"/>
          <w:lang w:val="en-US"/>
        </w:rPr>
        <w:t>Web site</w:t>
      </w:r>
      <w:r w:rsidRPr="00F92902">
        <w:rPr>
          <w:rFonts w:asciiTheme="minorHAnsi" w:hAnsiTheme="minorHAnsi"/>
          <w:sz w:val="22"/>
          <w:szCs w:val="22"/>
          <w:lang w:val="en-US"/>
        </w:rPr>
        <w:t>:  https://</w:t>
      </w:r>
      <w:proofErr w:type="spellStart"/>
      <w:r w:rsidRPr="00F92902">
        <w:rPr>
          <w:rFonts w:asciiTheme="minorHAnsi" w:hAnsiTheme="minorHAnsi"/>
          <w:sz w:val="22"/>
          <w:szCs w:val="22"/>
          <w:lang w:val="en-US"/>
        </w:rPr>
        <w:t>sites.google.com</w:t>
      </w:r>
      <w:proofErr w:type="spellEnd"/>
      <w:r w:rsidRPr="00F92902">
        <w:rPr>
          <w:rFonts w:asciiTheme="minorHAnsi" w:hAnsiTheme="minorHAnsi"/>
          <w:sz w:val="22"/>
          <w:szCs w:val="22"/>
          <w:lang w:val="en-US"/>
        </w:rPr>
        <w:t>/site/</w:t>
      </w:r>
      <w:proofErr w:type="spellStart"/>
      <w:r w:rsidRPr="00F92902">
        <w:rPr>
          <w:rFonts w:asciiTheme="minorHAnsi" w:hAnsiTheme="minorHAnsi"/>
          <w:sz w:val="22"/>
          <w:szCs w:val="22"/>
          <w:lang w:val="en-US"/>
        </w:rPr>
        <w:t>ekpametaptychiakoprogramma</w:t>
      </w:r>
      <w:proofErr w:type="spellEnd"/>
      <w:r w:rsidRPr="00F92902">
        <w:rPr>
          <w:rFonts w:asciiTheme="minorHAnsi" w:hAnsiTheme="minorHAnsi"/>
          <w:sz w:val="22"/>
          <w:szCs w:val="22"/>
          <w:lang w:val="en-US"/>
        </w:rPr>
        <w:t>/</w:t>
      </w:r>
      <w:bookmarkEnd w:id="3"/>
    </w:p>
    <w:p w:rsidR="00F92902" w:rsidRPr="00F92902" w:rsidRDefault="00F92902" w:rsidP="000A57A8">
      <w:pPr>
        <w:jc w:val="both"/>
        <w:rPr>
          <w:rFonts w:asciiTheme="minorHAnsi" w:hAnsiTheme="minorHAnsi"/>
          <w:sz w:val="22"/>
          <w:szCs w:val="22"/>
          <w:lang w:val="en-US"/>
        </w:rPr>
      </w:pPr>
    </w:p>
    <w:p w:rsidR="004537BD" w:rsidRPr="00F92902" w:rsidRDefault="004537BD" w:rsidP="00F92902">
      <w:pPr>
        <w:rPr>
          <w:lang w:val="en-US"/>
        </w:rPr>
      </w:pPr>
    </w:p>
    <w:sectPr w:rsidR="004537BD" w:rsidRPr="00F92902" w:rsidSect="005857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gHelveticaUCPol">
    <w:panose1 w:val="00000000000000000000"/>
    <w:charset w:val="A1"/>
    <w:family w:val="auto"/>
    <w:notTrueType/>
    <w:pitch w:val="default"/>
    <w:sig w:usb0="00000081" w:usb1="00000000" w:usb2="00000000" w:usb3="00000000" w:csb0="00000008" w:csb1="00000000"/>
  </w:font>
  <w:font w:name="Microsoft Sans Serif">
    <w:panose1 w:val="020B0604020202020204"/>
    <w:charset w:val="A1"/>
    <w:family w:val="swiss"/>
    <w:pitch w:val="variable"/>
    <w:sig w:usb0="61002BDF"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3997"/>
    <w:multiLevelType w:val="hybridMultilevel"/>
    <w:tmpl w:val="48429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D226781"/>
    <w:multiLevelType w:val="hybridMultilevel"/>
    <w:tmpl w:val="1882A3AE"/>
    <w:lvl w:ilvl="0" w:tplc="0408000F">
      <w:start w:val="1"/>
      <w:numFmt w:val="decimal"/>
      <w:lvlText w:val="%1."/>
      <w:lvlJc w:val="left"/>
      <w:pPr>
        <w:ind w:left="935" w:hanging="360"/>
      </w:pPr>
    </w:lvl>
    <w:lvl w:ilvl="1" w:tplc="04080019" w:tentative="1">
      <w:start w:val="1"/>
      <w:numFmt w:val="lowerLetter"/>
      <w:lvlText w:val="%2."/>
      <w:lvlJc w:val="left"/>
      <w:pPr>
        <w:ind w:left="1655" w:hanging="360"/>
      </w:pPr>
    </w:lvl>
    <w:lvl w:ilvl="2" w:tplc="0408001B" w:tentative="1">
      <w:start w:val="1"/>
      <w:numFmt w:val="lowerRoman"/>
      <w:lvlText w:val="%3."/>
      <w:lvlJc w:val="right"/>
      <w:pPr>
        <w:ind w:left="2375" w:hanging="180"/>
      </w:pPr>
    </w:lvl>
    <w:lvl w:ilvl="3" w:tplc="0408000F" w:tentative="1">
      <w:start w:val="1"/>
      <w:numFmt w:val="decimal"/>
      <w:lvlText w:val="%4."/>
      <w:lvlJc w:val="left"/>
      <w:pPr>
        <w:ind w:left="3095" w:hanging="360"/>
      </w:pPr>
    </w:lvl>
    <w:lvl w:ilvl="4" w:tplc="04080019" w:tentative="1">
      <w:start w:val="1"/>
      <w:numFmt w:val="lowerLetter"/>
      <w:lvlText w:val="%5."/>
      <w:lvlJc w:val="left"/>
      <w:pPr>
        <w:ind w:left="3815" w:hanging="360"/>
      </w:pPr>
    </w:lvl>
    <w:lvl w:ilvl="5" w:tplc="0408001B" w:tentative="1">
      <w:start w:val="1"/>
      <w:numFmt w:val="lowerRoman"/>
      <w:lvlText w:val="%6."/>
      <w:lvlJc w:val="right"/>
      <w:pPr>
        <w:ind w:left="4535" w:hanging="180"/>
      </w:pPr>
    </w:lvl>
    <w:lvl w:ilvl="6" w:tplc="0408000F" w:tentative="1">
      <w:start w:val="1"/>
      <w:numFmt w:val="decimal"/>
      <w:lvlText w:val="%7."/>
      <w:lvlJc w:val="left"/>
      <w:pPr>
        <w:ind w:left="5255" w:hanging="360"/>
      </w:pPr>
    </w:lvl>
    <w:lvl w:ilvl="7" w:tplc="04080019" w:tentative="1">
      <w:start w:val="1"/>
      <w:numFmt w:val="lowerLetter"/>
      <w:lvlText w:val="%8."/>
      <w:lvlJc w:val="left"/>
      <w:pPr>
        <w:ind w:left="5975" w:hanging="360"/>
      </w:pPr>
    </w:lvl>
    <w:lvl w:ilvl="8" w:tplc="0408001B" w:tentative="1">
      <w:start w:val="1"/>
      <w:numFmt w:val="lowerRoman"/>
      <w:lvlText w:val="%9."/>
      <w:lvlJc w:val="right"/>
      <w:pPr>
        <w:ind w:left="6695" w:hanging="180"/>
      </w:pPr>
    </w:lvl>
  </w:abstractNum>
  <w:abstractNum w:abstractNumId="2">
    <w:nsid w:val="78C44574"/>
    <w:multiLevelType w:val="hybridMultilevel"/>
    <w:tmpl w:val="81D07ECE"/>
    <w:lvl w:ilvl="0" w:tplc="E50458AC">
      <w:start w:val="1"/>
      <w:numFmt w:val="decimal"/>
      <w:lvlText w:val="%1."/>
      <w:lvlJc w:val="left"/>
      <w:pPr>
        <w:tabs>
          <w:tab w:val="num" w:pos="765"/>
        </w:tabs>
        <w:ind w:left="765" w:hanging="40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4537BD"/>
    <w:rsid w:val="000A57A8"/>
    <w:rsid w:val="002A7974"/>
    <w:rsid w:val="002B4791"/>
    <w:rsid w:val="002C7DB1"/>
    <w:rsid w:val="00307D58"/>
    <w:rsid w:val="003F53D1"/>
    <w:rsid w:val="004376D5"/>
    <w:rsid w:val="004537BD"/>
    <w:rsid w:val="0058570F"/>
    <w:rsid w:val="00586647"/>
    <w:rsid w:val="00694DED"/>
    <w:rsid w:val="006A53BC"/>
    <w:rsid w:val="006C60C1"/>
    <w:rsid w:val="0083119D"/>
    <w:rsid w:val="00910F54"/>
    <w:rsid w:val="00B36394"/>
    <w:rsid w:val="00B600C4"/>
    <w:rsid w:val="00C80002"/>
    <w:rsid w:val="00DA3C95"/>
    <w:rsid w:val="00E151C9"/>
    <w:rsid w:val="00E77CF4"/>
    <w:rsid w:val="00F6481C"/>
    <w:rsid w:val="00F929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537BD"/>
    <w:pPr>
      <w:keepNext/>
      <w:spacing w:before="240" w:after="240"/>
      <w:outlineLvl w:val="1"/>
    </w:pPr>
    <w:rPr>
      <w:rFonts w:ascii="Palatino Linotype" w:hAnsi="Palatino Linotype"/>
      <w:b/>
      <w:bCs/>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7BD"/>
    <w:pPr>
      <w:tabs>
        <w:tab w:val="center" w:pos="4153"/>
        <w:tab w:val="right" w:pos="8306"/>
      </w:tabs>
      <w:spacing w:line="360" w:lineRule="auto"/>
      <w:jc w:val="both"/>
    </w:pPr>
    <w:rPr>
      <w:rFonts w:ascii="Calibri" w:eastAsia="Calibri" w:hAnsi="Calibri"/>
      <w:sz w:val="22"/>
      <w:szCs w:val="22"/>
    </w:rPr>
  </w:style>
  <w:style w:type="character" w:customStyle="1" w:styleId="HeaderChar">
    <w:name w:val="Header Char"/>
    <w:basedOn w:val="DefaultParagraphFont"/>
    <w:link w:val="Header"/>
    <w:uiPriority w:val="99"/>
    <w:rsid w:val="004537BD"/>
    <w:rPr>
      <w:rFonts w:ascii="Calibri" w:eastAsia="Calibri" w:hAnsi="Calibri" w:cs="Times New Roman"/>
    </w:rPr>
  </w:style>
  <w:style w:type="character" w:customStyle="1" w:styleId="Heading2Char">
    <w:name w:val="Heading 2 Char"/>
    <w:basedOn w:val="DefaultParagraphFont"/>
    <w:link w:val="Heading2"/>
    <w:rsid w:val="004537BD"/>
    <w:rPr>
      <w:rFonts w:ascii="Palatino Linotype" w:eastAsia="Times New Roman" w:hAnsi="Palatino Linotype" w:cs="Times New Roman"/>
      <w:b/>
      <w:bCs/>
      <w:sz w:val="24"/>
      <w:szCs w:val="24"/>
      <w:lang w:eastAsia="el-GR"/>
    </w:rPr>
  </w:style>
  <w:style w:type="paragraph" w:styleId="BodyText">
    <w:name w:val="Body Text"/>
    <w:basedOn w:val="Normal"/>
    <w:link w:val="BodyTextChar"/>
    <w:rsid w:val="004537BD"/>
    <w:pPr>
      <w:jc w:val="both"/>
    </w:pPr>
    <w:rPr>
      <w:lang w:eastAsia="el-GR"/>
    </w:rPr>
  </w:style>
  <w:style w:type="character" w:customStyle="1" w:styleId="BodyTextChar">
    <w:name w:val="Body Text Char"/>
    <w:basedOn w:val="DefaultParagraphFont"/>
    <w:link w:val="BodyText"/>
    <w:rsid w:val="004537BD"/>
    <w:rPr>
      <w:rFonts w:ascii="Times New Roman" w:eastAsia="Times New Roman" w:hAnsi="Times New Roman" w:cs="Times New Roman"/>
      <w:sz w:val="24"/>
      <w:szCs w:val="24"/>
      <w:lang w:eastAsia="el-GR"/>
    </w:rPr>
  </w:style>
  <w:style w:type="paragraph" w:styleId="Title">
    <w:name w:val="Title"/>
    <w:basedOn w:val="Normal"/>
    <w:link w:val="TitleChar"/>
    <w:uiPriority w:val="99"/>
    <w:qFormat/>
    <w:rsid w:val="004537BD"/>
    <w:pPr>
      <w:jc w:val="center"/>
    </w:pPr>
    <w:rPr>
      <w:b/>
      <w:bCs/>
      <w:sz w:val="28"/>
    </w:rPr>
  </w:style>
  <w:style w:type="character" w:customStyle="1" w:styleId="TitleChar">
    <w:name w:val="Title Char"/>
    <w:basedOn w:val="DefaultParagraphFont"/>
    <w:link w:val="Title"/>
    <w:uiPriority w:val="99"/>
    <w:rsid w:val="004537BD"/>
    <w:rPr>
      <w:rFonts w:ascii="Times New Roman" w:eastAsia="Times New Roman" w:hAnsi="Times New Roman" w:cs="Times New Roman"/>
      <w:b/>
      <w:bCs/>
      <w:sz w:val="28"/>
      <w:szCs w:val="24"/>
    </w:rPr>
  </w:style>
  <w:style w:type="paragraph" w:styleId="ListParagraph">
    <w:name w:val="List Paragraph"/>
    <w:basedOn w:val="Normal"/>
    <w:uiPriority w:val="34"/>
    <w:qFormat/>
    <w:rsid w:val="004537BD"/>
    <w:pPr>
      <w:ind w:left="720"/>
      <w:contextualSpacing/>
    </w:pPr>
  </w:style>
  <w:style w:type="character" w:styleId="Hyperlink">
    <w:name w:val="Hyperlink"/>
    <w:basedOn w:val="DefaultParagraphFont"/>
    <w:uiPriority w:val="99"/>
    <w:unhideWhenUsed/>
    <w:rsid w:val="00F92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hsm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cp:lastModifiedBy>
  <cp:revision>2</cp:revision>
  <dcterms:created xsi:type="dcterms:W3CDTF">2018-04-25T07:17:00Z</dcterms:created>
  <dcterms:modified xsi:type="dcterms:W3CDTF">2018-04-25T07:17:00Z</dcterms:modified>
</cp:coreProperties>
</file>